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8B48A" w14:textId="77777777" w:rsidR="009A6240" w:rsidRDefault="00DF7A96">
      <w:pPr>
        <w:keepNext/>
        <w:spacing w:after="0" w:line="240" w:lineRule="auto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" behindDoc="0" locked="0" layoutInCell="0" allowOverlap="1" wp14:anchorId="2A70C49B" wp14:editId="43332C0D">
            <wp:simplePos x="0" y="0"/>
            <wp:positionH relativeFrom="column">
              <wp:posOffset>5143500</wp:posOffset>
            </wp:positionH>
            <wp:positionV relativeFrom="paragraph">
              <wp:posOffset>53340</wp:posOffset>
            </wp:positionV>
            <wp:extent cx="609600" cy="685800"/>
            <wp:effectExtent l="0" t="0" r="0" b="0"/>
            <wp:wrapTight wrapText="bothSides">
              <wp:wrapPolygon edited="0">
                <wp:start x="-326" y="0"/>
                <wp:lineTo x="-326" y="21289"/>
                <wp:lineTo x="21583" y="21289"/>
                <wp:lineTo x="21583" y="0"/>
                <wp:lineTo x="-326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sz w:val="28"/>
          <w:szCs w:val="28"/>
          <w:lang w:eastAsia="cs-CZ"/>
        </w:rPr>
        <w:t>MĚSTSKÁ ČÁST PRAHA-TROJA</w:t>
      </w:r>
    </w:p>
    <w:p w14:paraId="43C2D6B1" w14:textId="77777777" w:rsidR="009A6240" w:rsidRDefault="00DF7A96">
      <w:pPr>
        <w:keepNext/>
        <w:spacing w:after="0" w:line="240" w:lineRule="auto"/>
        <w:outlineLvl w:val="5"/>
        <w:rPr>
          <w:sz w:val="26"/>
          <w:szCs w:val="26"/>
        </w:rPr>
      </w:pPr>
      <w:r>
        <w:rPr>
          <w:rFonts w:eastAsia="Times New Roman" w:cs="Arial"/>
          <w:b/>
          <w:bCs/>
          <w:sz w:val="26"/>
          <w:szCs w:val="26"/>
          <w:lang w:eastAsia="cs-CZ"/>
        </w:rPr>
        <w:t>ÚŘAD MĚSTSKÉ ČÁSTI</w:t>
      </w:r>
    </w:p>
    <w:p w14:paraId="24B325DC" w14:textId="77777777" w:rsidR="009A6240" w:rsidRDefault="00DF7A96">
      <w:pPr>
        <w:keepNext/>
        <w:spacing w:after="0" w:line="240" w:lineRule="auto"/>
        <w:jc w:val="both"/>
        <w:outlineLvl w:val="5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Trojská 230/96, 171 00 Praha 7 – Troja</w:t>
      </w:r>
    </w:p>
    <w:p w14:paraId="07C02F6F" w14:textId="77777777" w:rsidR="009A6240" w:rsidRDefault="00DF7A96">
      <w:pPr>
        <w:keepNext/>
        <w:spacing w:after="0" w:line="240" w:lineRule="auto"/>
        <w:outlineLvl w:val="5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TEL/FAX. </w:t>
      </w:r>
      <w:proofErr w:type="gramStart"/>
      <w:r>
        <w:rPr>
          <w:rFonts w:eastAsia="Times New Roman" w:cs="Arial"/>
          <w:bCs/>
          <w:lang w:eastAsia="cs-CZ"/>
        </w:rPr>
        <w:t>284691121  e-mail</w:t>
      </w:r>
      <w:proofErr w:type="gramEnd"/>
      <w:r>
        <w:rPr>
          <w:rFonts w:eastAsia="Times New Roman" w:cs="Arial"/>
          <w:bCs/>
          <w:lang w:eastAsia="cs-CZ"/>
        </w:rPr>
        <w:t>: info@mctroja.cz</w:t>
      </w:r>
    </w:p>
    <w:p w14:paraId="72E865E0" w14:textId="77777777" w:rsidR="009A6240" w:rsidRDefault="009A6240">
      <w:pPr>
        <w:spacing w:after="0" w:line="240" w:lineRule="auto"/>
        <w:rPr>
          <w:rFonts w:eastAsia="Times New Roman" w:cs="Arial"/>
          <w:b/>
          <w:bCs/>
          <w:sz w:val="24"/>
          <w:szCs w:val="20"/>
          <w:lang w:eastAsia="cs-CZ"/>
        </w:rPr>
      </w:pPr>
    </w:p>
    <w:p w14:paraId="4EA4659C" w14:textId="77777777" w:rsidR="009A6240" w:rsidRDefault="00DF7A96">
      <w:pPr>
        <w:pBdr>
          <w:top w:val="single" w:sz="4" w:space="1" w:color="000000"/>
        </w:pBdr>
        <w:spacing w:after="0" w:line="240" w:lineRule="auto"/>
      </w:pPr>
      <w:r>
        <w:rPr>
          <w:rFonts w:eastAsia="Times New Roman" w:cs="Calibri"/>
          <w:sz w:val="20"/>
          <w:szCs w:val="20"/>
          <w:lang w:eastAsia="cs-CZ"/>
        </w:rPr>
        <w:t>Č. j.: TR 00200/2021</w:t>
      </w:r>
      <w:r>
        <w:rPr>
          <w:rFonts w:eastAsia="Times New Roman" w:cs="Calibri"/>
          <w:sz w:val="20"/>
          <w:szCs w:val="20"/>
          <w:lang w:eastAsia="cs-CZ"/>
        </w:rPr>
        <w:tab/>
      </w:r>
      <w:r>
        <w:rPr>
          <w:rFonts w:eastAsia="Times New Roman" w:cs="Calibri"/>
          <w:sz w:val="20"/>
          <w:szCs w:val="20"/>
          <w:lang w:eastAsia="cs-CZ"/>
        </w:rPr>
        <w:tab/>
      </w:r>
      <w:r>
        <w:rPr>
          <w:rFonts w:eastAsia="Times New Roman" w:cs="Calibri"/>
          <w:sz w:val="20"/>
          <w:szCs w:val="20"/>
          <w:lang w:eastAsia="cs-CZ"/>
        </w:rPr>
        <w:tab/>
        <w:t xml:space="preserve">Vaše č.j.: </w:t>
      </w:r>
      <w:r>
        <w:rPr>
          <w:rFonts w:eastAsia="Times New Roman" w:cs="Calibri"/>
          <w:sz w:val="20"/>
          <w:szCs w:val="20"/>
          <w:lang w:eastAsia="cs-CZ"/>
        </w:rPr>
        <w:tab/>
      </w:r>
      <w:r>
        <w:rPr>
          <w:rFonts w:eastAsia="Times New Roman" w:cs="Calibri"/>
          <w:sz w:val="20"/>
          <w:szCs w:val="20"/>
          <w:lang w:eastAsia="cs-CZ"/>
        </w:rPr>
        <w:tab/>
      </w:r>
      <w:r>
        <w:rPr>
          <w:rFonts w:eastAsia="Times New Roman" w:cs="Calibri"/>
          <w:sz w:val="20"/>
          <w:szCs w:val="20"/>
          <w:lang w:eastAsia="cs-CZ"/>
        </w:rPr>
        <w:tab/>
      </w:r>
      <w:proofErr w:type="gramStart"/>
      <w:r>
        <w:rPr>
          <w:rFonts w:eastAsia="Times New Roman" w:cs="Calibri"/>
          <w:sz w:val="20"/>
          <w:szCs w:val="20"/>
          <w:lang w:eastAsia="cs-CZ"/>
        </w:rPr>
        <w:tab/>
        <w:t xml:space="preserve">  V</w:t>
      </w:r>
      <w:proofErr w:type="gramEnd"/>
      <w:r>
        <w:rPr>
          <w:rFonts w:eastAsia="Times New Roman" w:cs="Calibri"/>
          <w:sz w:val="20"/>
          <w:szCs w:val="20"/>
          <w:lang w:eastAsia="cs-CZ"/>
        </w:rPr>
        <w:t> Praze dne 24.2.2021</w:t>
      </w:r>
    </w:p>
    <w:p w14:paraId="13DAF421" w14:textId="77777777" w:rsidR="009A6240" w:rsidRDefault="00DF7A96">
      <w:pPr>
        <w:pBdr>
          <w:top w:val="single" w:sz="4" w:space="1" w:color="000000"/>
        </w:pBdr>
        <w:spacing w:after="0" w:line="240" w:lineRule="auto"/>
        <w:rPr>
          <w:rFonts w:eastAsia="Times New Roman" w:cs="Calibri"/>
          <w:sz w:val="20"/>
          <w:szCs w:val="20"/>
          <w:lang w:eastAsia="cs-CZ"/>
        </w:rPr>
      </w:pPr>
      <w:r>
        <w:rPr>
          <w:rFonts w:eastAsia="Times New Roman" w:cs="Calibri"/>
          <w:sz w:val="20"/>
          <w:szCs w:val="20"/>
          <w:lang w:eastAsia="cs-CZ"/>
        </w:rPr>
        <w:t>Vyřizuje: Ing. Marková</w:t>
      </w:r>
    </w:p>
    <w:p w14:paraId="51D46363" w14:textId="77777777" w:rsidR="009A6240" w:rsidRDefault="009A6240">
      <w:pPr>
        <w:spacing w:after="0" w:line="240" w:lineRule="auto"/>
        <w:rPr>
          <w:rFonts w:eastAsia="Times New Roman" w:cs="Calibri"/>
          <w:b/>
          <w:sz w:val="20"/>
          <w:szCs w:val="20"/>
          <w:lang w:eastAsia="cs-CZ"/>
        </w:rPr>
      </w:pPr>
    </w:p>
    <w:p w14:paraId="5BF5BF27" w14:textId="77777777" w:rsidR="009A6240" w:rsidRDefault="009A6240">
      <w:pPr>
        <w:spacing w:after="0" w:line="240" w:lineRule="auto"/>
        <w:rPr>
          <w:b/>
        </w:rPr>
      </w:pPr>
    </w:p>
    <w:p w14:paraId="7DB33479" w14:textId="77777777" w:rsidR="009A6240" w:rsidRDefault="00DF7A96">
      <w:pPr>
        <w:spacing w:after="0" w:line="240" w:lineRule="auto"/>
        <w:ind w:left="-142"/>
        <w:jc w:val="both"/>
      </w:pPr>
      <w:r>
        <w:rPr>
          <w:b/>
          <w:sz w:val="24"/>
          <w:u w:val="single"/>
        </w:rPr>
        <w:t>Poskytnutí informací podle § 14 odst. 5 písm. d) zákona č. 106/1999 Sb., o svobodném přístupu k informacím, ve znění pozdějších předpisů</w:t>
      </w:r>
    </w:p>
    <w:p w14:paraId="5EF10914" w14:textId="77777777" w:rsidR="009A6240" w:rsidRDefault="009A6240">
      <w:pPr>
        <w:spacing w:after="0" w:line="240" w:lineRule="auto"/>
        <w:ind w:left="227"/>
        <w:jc w:val="both"/>
        <w:rPr>
          <w:b/>
          <w:sz w:val="24"/>
          <w:u w:val="single"/>
        </w:rPr>
      </w:pPr>
    </w:p>
    <w:p w14:paraId="5FF63FAC" w14:textId="77777777" w:rsidR="009A6240" w:rsidRDefault="00DF7A96">
      <w:pPr>
        <w:spacing w:after="0" w:line="240" w:lineRule="auto"/>
        <w:ind w:left="-226"/>
        <w:jc w:val="both"/>
      </w:pPr>
      <w:r>
        <w:rPr>
          <w:sz w:val="24"/>
        </w:rPr>
        <w:t>M</w:t>
      </w:r>
      <w:r>
        <w:t>ěstská část Praha-Troja obdržela dne 12. února 2021 Vaši žádost podle zákona č.106/1999 Sb., o svobodném přístupu k informacím, ve znění pozdějších předpisů (dále také jako „</w:t>
      </w:r>
      <w:proofErr w:type="spellStart"/>
      <w:r>
        <w:t>InfZ</w:t>
      </w:r>
      <w:proofErr w:type="spellEnd"/>
      <w:r>
        <w:t xml:space="preserve">“), v níž se domáháte poskytnutí informací: </w:t>
      </w:r>
    </w:p>
    <w:p w14:paraId="04F5898C" w14:textId="77777777" w:rsidR="009A6240" w:rsidRDefault="009A6240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eastAsia="cs-CZ"/>
        </w:rPr>
      </w:pPr>
    </w:p>
    <w:p w14:paraId="5AAA6E17" w14:textId="77777777" w:rsidR="009A6240" w:rsidRDefault="00DF7A96">
      <w:pPr>
        <w:spacing w:after="0" w:line="240" w:lineRule="auto"/>
        <w:ind w:left="-227"/>
        <w:jc w:val="both"/>
        <w:rPr>
          <w:b/>
          <w:bCs/>
        </w:rPr>
      </w:pPr>
      <w:r>
        <w:rPr>
          <w:rFonts w:cs="Calibri"/>
          <w:b/>
          <w:bCs/>
          <w:color w:val="000000"/>
          <w:lang w:eastAsia="cs-CZ"/>
        </w:rPr>
        <w:t xml:space="preserve">Jaké konkrétní příspěvkové organizace, ve smyslu § 4 </w:t>
      </w:r>
      <w:r>
        <w:rPr>
          <w:rFonts w:cs="Calibri"/>
          <w:b/>
          <w:bCs/>
          <w:color w:val="000000"/>
          <w:sz w:val="24"/>
          <w:szCs w:val="24"/>
          <w:lang w:eastAsia="cs-CZ"/>
        </w:rPr>
        <w:t>odst.1 písm. c) a d) zákona č. 134/2016 Sb. (dále i „ZVZ“), byly povinným subjektem zřízeny, a to za celou dobu existence povinného subjektu?</w:t>
      </w:r>
    </w:p>
    <w:p w14:paraId="574E44F7" w14:textId="77777777" w:rsidR="009A6240" w:rsidRDefault="00DF7A96">
      <w:pPr>
        <w:tabs>
          <w:tab w:val="left" w:pos="284"/>
        </w:tabs>
        <w:spacing w:after="0" w:line="240" w:lineRule="auto"/>
        <w:ind w:left="578"/>
        <w:jc w:val="both"/>
      </w:pPr>
      <w:r>
        <w:rPr>
          <w:rFonts w:cs="Calibri"/>
          <w:color w:val="000000"/>
          <w:lang w:eastAsia="cs-CZ"/>
        </w:rPr>
        <w:t xml:space="preserve"> </w:t>
      </w:r>
    </w:p>
    <w:p w14:paraId="70B8A50C" w14:textId="77777777" w:rsidR="009A6240" w:rsidRDefault="00DF7A96">
      <w:pPr>
        <w:spacing w:after="0" w:line="240" w:lineRule="auto"/>
        <w:ind w:left="284" w:hanging="426"/>
        <w:jc w:val="both"/>
        <w:rPr>
          <w:rFonts w:cs="Calibri"/>
          <w:color w:val="000000"/>
          <w:lang w:eastAsia="cs-CZ"/>
        </w:rPr>
      </w:pPr>
      <w:proofErr w:type="gramStart"/>
      <w:r>
        <w:rPr>
          <w:rFonts w:cs="Calibri"/>
          <w:i/>
          <w:iCs/>
          <w:color w:val="000000"/>
          <w:u w:val="single"/>
          <w:lang w:eastAsia="cs-CZ"/>
        </w:rPr>
        <w:t>Odpověď:</w:t>
      </w:r>
      <w:r>
        <w:rPr>
          <w:rFonts w:cs="Calibri"/>
          <w:color w:val="000000"/>
          <w:lang w:eastAsia="cs-CZ"/>
        </w:rPr>
        <w:t xml:space="preserve">  Městská</w:t>
      </w:r>
      <w:proofErr w:type="gramEnd"/>
      <w:r>
        <w:rPr>
          <w:rFonts w:cs="Calibri"/>
          <w:color w:val="000000"/>
          <w:lang w:eastAsia="cs-CZ"/>
        </w:rPr>
        <w:t xml:space="preserve"> část Praha-Troja zřídila za celou dobu své existence 2 příspěvkové organizace:</w:t>
      </w:r>
    </w:p>
    <w:p w14:paraId="76A0BE15" w14:textId="77777777" w:rsidR="009A6240" w:rsidRDefault="009A6240">
      <w:pPr>
        <w:spacing w:after="0" w:line="240" w:lineRule="auto"/>
        <w:ind w:left="284" w:hanging="426"/>
        <w:jc w:val="both"/>
        <w:rPr>
          <w:rFonts w:cs="Calibri"/>
          <w:color w:val="000000"/>
          <w:lang w:eastAsia="cs-CZ"/>
        </w:rPr>
      </w:pPr>
    </w:p>
    <w:p w14:paraId="0FA92E3B" w14:textId="77777777" w:rsidR="009A6240" w:rsidRDefault="00DF7A96">
      <w:pPr>
        <w:spacing w:after="0" w:line="240" w:lineRule="auto"/>
        <w:ind w:left="284" w:hanging="426"/>
        <w:jc w:val="both"/>
        <w:rPr>
          <w:rFonts w:cs="Calibri"/>
          <w:color w:val="000000"/>
          <w:lang w:eastAsia="cs-CZ"/>
        </w:rPr>
      </w:pPr>
      <w:r>
        <w:rPr>
          <w:rFonts w:cs="Calibri"/>
          <w:b/>
          <w:color w:val="000000"/>
          <w:lang w:eastAsia="cs-CZ"/>
        </w:rPr>
        <w:t>Z</w:t>
      </w:r>
      <w:r>
        <w:rPr>
          <w:b/>
        </w:rPr>
        <w:t xml:space="preserve">ákladní škola, Praha 7, Trojská 110, </w:t>
      </w:r>
      <w:r>
        <w:t>IČ</w:t>
      </w:r>
      <w:r>
        <w:rPr>
          <w:b/>
        </w:rPr>
        <w:t xml:space="preserve"> </w:t>
      </w:r>
      <w:r>
        <w:t xml:space="preserve">70997365, sídlo Trojská 211, 171 00 Praha </w:t>
      </w:r>
      <w:proofErr w:type="gramStart"/>
      <w:r>
        <w:t>7-Troja</w:t>
      </w:r>
      <w:proofErr w:type="gramEnd"/>
      <w:r>
        <w:t xml:space="preserve">, účel – základní vzdělávání podle zákona č. 561/2004 Sb., školský zákon. Součástí školy je školní družina.  </w:t>
      </w:r>
    </w:p>
    <w:p w14:paraId="685F57FC" w14:textId="77777777" w:rsidR="009A6240" w:rsidRDefault="00DF7A96">
      <w:pPr>
        <w:spacing w:after="0" w:line="240" w:lineRule="auto"/>
        <w:ind w:left="284" w:hanging="426"/>
        <w:jc w:val="both"/>
        <w:rPr>
          <w:rFonts w:cs="Calibri"/>
          <w:color w:val="000000"/>
          <w:lang w:eastAsia="cs-CZ"/>
        </w:rPr>
      </w:pPr>
      <w:r>
        <w:rPr>
          <w:b/>
          <w:bCs/>
        </w:rPr>
        <w:t>Mateřsk</w:t>
      </w:r>
      <w:r>
        <w:rPr>
          <w:b/>
        </w:rPr>
        <w:t xml:space="preserve">á škola Nad </w:t>
      </w:r>
      <w:proofErr w:type="spellStart"/>
      <w:r>
        <w:rPr>
          <w:b/>
        </w:rPr>
        <w:t>Kazankou</w:t>
      </w:r>
      <w:proofErr w:type="spellEnd"/>
      <w:r>
        <w:rPr>
          <w:b/>
        </w:rPr>
        <w:t xml:space="preserve"> 30</w:t>
      </w:r>
      <w:r>
        <w:t xml:space="preserve">, IČ 70997373, sídlo Nad </w:t>
      </w:r>
      <w:proofErr w:type="spellStart"/>
      <w:r>
        <w:t>Kazankou</w:t>
      </w:r>
      <w:proofErr w:type="spellEnd"/>
      <w:r>
        <w:t xml:space="preserve"> 230/30, 171 00 Praha </w:t>
      </w:r>
      <w:proofErr w:type="gramStart"/>
      <w:r>
        <w:t>7-Troja</w:t>
      </w:r>
      <w:proofErr w:type="gramEnd"/>
      <w:r>
        <w:t xml:space="preserve">, účel - předškolní vzdělávání podle zákona č. 561/2004 Sb., školský zákon </w:t>
      </w:r>
    </w:p>
    <w:p w14:paraId="2CBF547C" w14:textId="77777777" w:rsidR="009A6240" w:rsidRDefault="009A6240">
      <w:pPr>
        <w:spacing w:after="0" w:line="240" w:lineRule="auto"/>
        <w:ind w:left="284" w:hanging="426"/>
        <w:jc w:val="both"/>
        <w:rPr>
          <w:rFonts w:cs="Calibri"/>
          <w:color w:val="000000"/>
          <w:lang w:eastAsia="cs-CZ"/>
        </w:rPr>
      </w:pPr>
    </w:p>
    <w:p w14:paraId="4318EF24" w14:textId="77777777" w:rsidR="009A6240" w:rsidRDefault="00DF7A96">
      <w:pPr>
        <w:spacing w:after="0" w:line="240" w:lineRule="auto"/>
        <w:ind w:left="284" w:hanging="426"/>
        <w:jc w:val="both"/>
        <w:rPr>
          <w:rFonts w:cs="Calibri"/>
          <w:color w:val="000000"/>
          <w:lang w:eastAsia="cs-CZ"/>
        </w:rPr>
      </w:pPr>
      <w:r>
        <w:t xml:space="preserve">   </w:t>
      </w:r>
    </w:p>
    <w:p w14:paraId="2E9B069B" w14:textId="77777777" w:rsidR="009A6240" w:rsidRDefault="00DF7A96">
      <w:pPr>
        <w:spacing w:after="0" w:line="240" w:lineRule="auto"/>
        <w:ind w:left="-113"/>
        <w:jc w:val="both"/>
      </w:pPr>
      <w:r>
        <w:rPr>
          <w:rFonts w:cs="Calibri"/>
          <w:b/>
          <w:bCs/>
          <w:color w:val="000000"/>
          <w:lang w:eastAsia="cs-CZ"/>
        </w:rPr>
        <w:t>Jaké jiné právnické osoby, ve smyslu § 4 odst. 1 písm. e) bod 1. a bod 2. zákona č. 134/2016 Sb., byly povinným subjektem založeny, a to za celou dobu existence povinného subjektu?</w:t>
      </w:r>
      <w:r>
        <w:rPr>
          <w:rFonts w:cs="Calibri"/>
          <w:color w:val="000000"/>
          <w:lang w:eastAsia="cs-CZ"/>
        </w:rPr>
        <w:t xml:space="preserve"> </w:t>
      </w:r>
    </w:p>
    <w:p w14:paraId="0C592993" w14:textId="77777777" w:rsidR="009A6240" w:rsidRDefault="009A6240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</w:p>
    <w:p w14:paraId="539CA7E5" w14:textId="77777777" w:rsidR="009A6240" w:rsidRDefault="00DF7A96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  <w:r>
        <w:rPr>
          <w:rFonts w:cs="Calibri"/>
          <w:i/>
          <w:iCs/>
          <w:color w:val="000000"/>
          <w:u w:val="single"/>
          <w:lang w:eastAsia="cs-CZ"/>
        </w:rPr>
        <w:t>Odpověď:</w:t>
      </w:r>
      <w:r>
        <w:rPr>
          <w:rFonts w:cs="Calibri"/>
          <w:color w:val="000000"/>
          <w:lang w:eastAsia="cs-CZ"/>
        </w:rPr>
        <w:t xml:space="preserve"> Městská část Praha-Troja nezaložila žádné jiné právnické osoby odpovídající definici.</w:t>
      </w:r>
    </w:p>
    <w:p w14:paraId="3BE1DE93" w14:textId="77777777" w:rsidR="009A6240" w:rsidRDefault="009A6240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</w:p>
    <w:p w14:paraId="632473D5" w14:textId="77777777" w:rsidR="009A6240" w:rsidRDefault="00DF7A96">
      <w:pPr>
        <w:spacing w:after="0" w:line="240" w:lineRule="auto"/>
        <w:ind w:left="-113"/>
        <w:jc w:val="both"/>
      </w:pPr>
      <w:r>
        <w:rPr>
          <w:rFonts w:cs="Calibri"/>
          <w:b/>
          <w:bCs/>
          <w:color w:val="000000"/>
          <w:lang w:eastAsia="cs-CZ"/>
        </w:rPr>
        <w:t>Jaké právnické osoby, které nespadají pod definici § 4 odst.1 písm. e) bod 1. a bod 2. zákona č. 134/2016 Sb., byly povinným subjektem založeny, a to za celou dobu existence povinného subjektu?</w:t>
      </w:r>
      <w:r>
        <w:rPr>
          <w:rFonts w:cs="Calibri"/>
          <w:color w:val="000000"/>
          <w:lang w:eastAsia="cs-CZ"/>
        </w:rPr>
        <w:t xml:space="preserve"> </w:t>
      </w:r>
    </w:p>
    <w:p w14:paraId="087CA8B2" w14:textId="77777777" w:rsidR="009A6240" w:rsidRDefault="009A6240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</w:p>
    <w:p w14:paraId="316060DF" w14:textId="77777777" w:rsidR="009A6240" w:rsidRDefault="00DF7A96">
      <w:pPr>
        <w:spacing w:after="0" w:line="240" w:lineRule="auto"/>
        <w:ind w:left="-113"/>
        <w:jc w:val="both"/>
      </w:pPr>
      <w:r>
        <w:rPr>
          <w:rFonts w:cs="Calibri"/>
          <w:i/>
          <w:iCs/>
          <w:color w:val="000000"/>
          <w:u w:val="single"/>
          <w:lang w:eastAsia="cs-CZ"/>
        </w:rPr>
        <w:t>Odpověď:</w:t>
      </w:r>
      <w:r>
        <w:rPr>
          <w:rFonts w:cs="Calibri"/>
          <w:color w:val="000000"/>
          <w:lang w:eastAsia="cs-CZ"/>
        </w:rPr>
        <w:t xml:space="preserve"> Městská část Praha-Troja nezaložila žádné právnické osoby nespadající pod uvedenou definici.</w:t>
      </w:r>
    </w:p>
    <w:p w14:paraId="59712B4B" w14:textId="77777777" w:rsidR="009A6240" w:rsidRDefault="009A6240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</w:p>
    <w:p w14:paraId="6596C5BE" w14:textId="77777777" w:rsidR="009A6240" w:rsidRDefault="00DF7A96">
      <w:pPr>
        <w:spacing w:after="0" w:line="240" w:lineRule="auto"/>
        <w:ind w:left="-113"/>
        <w:jc w:val="both"/>
        <w:rPr>
          <w:b/>
          <w:bCs/>
        </w:rPr>
      </w:pPr>
      <w:r>
        <w:rPr>
          <w:rFonts w:cs="Calibri"/>
          <w:b/>
          <w:bCs/>
          <w:color w:val="000000"/>
          <w:lang w:eastAsia="cs-CZ"/>
        </w:rPr>
        <w:t>Jaké 3 nejvýznamnější zakázky byly uzavřeny v kalendářním roce 2020 na základě vertikální spolupráce dle § 11 zákona č. 134/2016 Sb.?</w:t>
      </w:r>
    </w:p>
    <w:p w14:paraId="642D00A2" w14:textId="77777777" w:rsidR="009A6240" w:rsidRDefault="009A6240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</w:p>
    <w:p w14:paraId="2D7E354C" w14:textId="77777777" w:rsidR="009A6240" w:rsidRDefault="00DF7A96">
      <w:pPr>
        <w:spacing w:after="0" w:line="240" w:lineRule="auto"/>
        <w:ind w:left="-113"/>
        <w:jc w:val="both"/>
        <w:rPr>
          <w:i/>
          <w:iCs/>
          <w:u w:val="single"/>
        </w:rPr>
      </w:pPr>
      <w:proofErr w:type="gramStart"/>
      <w:r>
        <w:rPr>
          <w:rFonts w:cs="Calibri"/>
          <w:i/>
          <w:iCs/>
          <w:color w:val="000000"/>
          <w:u w:val="single"/>
          <w:lang w:eastAsia="cs-CZ"/>
        </w:rPr>
        <w:t xml:space="preserve">Odpověď: </w:t>
      </w:r>
      <w:r>
        <w:rPr>
          <w:rFonts w:cs="Calibri"/>
          <w:color w:val="000000"/>
          <w:lang w:eastAsia="cs-CZ"/>
        </w:rPr>
        <w:t xml:space="preserve"> Městská</w:t>
      </w:r>
      <w:proofErr w:type="gramEnd"/>
      <w:r>
        <w:rPr>
          <w:rFonts w:cs="Calibri"/>
          <w:color w:val="000000"/>
          <w:lang w:eastAsia="cs-CZ"/>
        </w:rPr>
        <w:t xml:space="preserve"> část Praha-Troja neuzavřela v roce 2020 žádnou veřejnou zakázku na základě vertikální spolupráce.</w:t>
      </w:r>
    </w:p>
    <w:p w14:paraId="5DCF7468" w14:textId="77777777" w:rsidR="009A6240" w:rsidRDefault="009A6240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</w:p>
    <w:p w14:paraId="7AB1A4C7" w14:textId="77777777" w:rsidR="009A6240" w:rsidRDefault="00DF7A96">
      <w:pPr>
        <w:spacing w:after="0" w:line="240" w:lineRule="auto"/>
        <w:ind w:left="-113"/>
        <w:jc w:val="both"/>
        <w:rPr>
          <w:b/>
          <w:bCs/>
          <w:i/>
          <w:iCs/>
          <w:u w:val="single"/>
        </w:rPr>
      </w:pPr>
      <w:r>
        <w:rPr>
          <w:rFonts w:cs="Calibri"/>
          <w:b/>
          <w:bCs/>
          <w:color w:val="000000"/>
          <w:lang w:eastAsia="cs-CZ"/>
        </w:rPr>
        <w:t>Jaké 3 nejvýznamnější zakázky byly uzavřeny v kalendářním roce 2020 na základě horizontální spolupráce dle § 11 zákona č. 134/2016 Sb.?</w:t>
      </w:r>
    </w:p>
    <w:p w14:paraId="0C0B4ED2" w14:textId="77777777" w:rsidR="009A6240" w:rsidRDefault="009A6240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</w:p>
    <w:p w14:paraId="28DB90C1" w14:textId="77777777" w:rsidR="009A6240" w:rsidRDefault="00DF7A96">
      <w:pPr>
        <w:spacing w:after="0" w:line="240" w:lineRule="auto"/>
        <w:ind w:left="-113"/>
        <w:jc w:val="both"/>
        <w:rPr>
          <w:i/>
          <w:iCs/>
          <w:u w:val="single"/>
        </w:rPr>
      </w:pPr>
      <w:proofErr w:type="gramStart"/>
      <w:r>
        <w:rPr>
          <w:rFonts w:cs="Calibri"/>
          <w:i/>
          <w:iCs/>
          <w:color w:val="000000"/>
          <w:u w:val="single"/>
          <w:lang w:eastAsia="cs-CZ"/>
        </w:rPr>
        <w:lastRenderedPageBreak/>
        <w:t xml:space="preserve">Odpověď: </w:t>
      </w:r>
      <w:r>
        <w:rPr>
          <w:rFonts w:cs="Calibri"/>
          <w:color w:val="000000"/>
          <w:lang w:eastAsia="cs-CZ"/>
        </w:rPr>
        <w:t xml:space="preserve"> Městská</w:t>
      </w:r>
      <w:proofErr w:type="gramEnd"/>
      <w:r>
        <w:rPr>
          <w:rFonts w:cs="Calibri"/>
          <w:color w:val="000000"/>
          <w:lang w:eastAsia="cs-CZ"/>
        </w:rPr>
        <w:t xml:space="preserve"> část Praha-Troja neuzavřela v roce 2020 žádnou veřejnou zakázku na základě horizontální spolupráce.</w:t>
      </w:r>
    </w:p>
    <w:p w14:paraId="0A4CF403" w14:textId="77777777" w:rsidR="009A6240" w:rsidRDefault="009A6240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</w:p>
    <w:p w14:paraId="4539DDE6" w14:textId="77777777" w:rsidR="009A6240" w:rsidRDefault="00DF7A96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  <w:r>
        <w:rPr>
          <w:rFonts w:cs="Calibri"/>
          <w:b/>
          <w:bCs/>
          <w:color w:val="000000"/>
          <w:lang w:eastAsia="cs-CZ"/>
        </w:rPr>
        <w:t>Jaké 3 nejvýznamnější zakázky byly uzavřeny v kalendářním roce 2020 s dodavateli, kteří nejsou veřejným zadavatelem podle ZVZ?</w:t>
      </w:r>
    </w:p>
    <w:p w14:paraId="58028CFB" w14:textId="77777777" w:rsidR="009A6240" w:rsidRDefault="009A6240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</w:p>
    <w:p w14:paraId="74E75D82" w14:textId="77777777" w:rsidR="009A6240" w:rsidRDefault="00DF7A96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  <w:r>
        <w:rPr>
          <w:rFonts w:cs="Calibri"/>
          <w:i/>
          <w:iCs/>
          <w:color w:val="000000"/>
          <w:u w:val="single"/>
          <w:lang w:eastAsia="cs-CZ"/>
        </w:rPr>
        <w:t>Odpověď:</w:t>
      </w:r>
      <w:r>
        <w:rPr>
          <w:rFonts w:cs="Calibri"/>
          <w:color w:val="000000"/>
          <w:lang w:eastAsia="cs-CZ"/>
        </w:rPr>
        <w:t xml:space="preserve"> Městská část Praha-Troja neuzavřela v roce 2020 žádnou nadlimitní veřejnou zakázku.</w:t>
      </w:r>
    </w:p>
    <w:p w14:paraId="6AFB4CBE" w14:textId="77777777" w:rsidR="009A6240" w:rsidRDefault="009A6240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</w:p>
    <w:p w14:paraId="45BC136D" w14:textId="77777777" w:rsidR="009A6240" w:rsidRDefault="00DF7A96">
      <w:pPr>
        <w:spacing w:after="0" w:line="240" w:lineRule="auto"/>
        <w:ind w:left="-113"/>
        <w:jc w:val="both"/>
      </w:pPr>
      <w:r>
        <w:rPr>
          <w:rFonts w:cs="Calibri"/>
          <w:b/>
          <w:bCs/>
          <w:color w:val="000000"/>
          <w:lang w:eastAsia="cs-CZ"/>
        </w:rPr>
        <w:t>Jakým způsobem zajišťuje povinný subjekt dodržení zásady transparentnosti podle § 6 ZVZ ve vztahu k veřejným zakázkám malého rozsahu na právní služby nespadající pod výjimku dle § 29 písm. k) ZVZ?</w:t>
      </w:r>
    </w:p>
    <w:p w14:paraId="5B4226EB" w14:textId="77777777" w:rsidR="009A6240" w:rsidRDefault="009A6240">
      <w:pPr>
        <w:spacing w:after="0" w:line="240" w:lineRule="auto"/>
        <w:ind w:left="-113"/>
        <w:jc w:val="both"/>
        <w:rPr>
          <w:b/>
          <w:bCs/>
        </w:rPr>
      </w:pPr>
    </w:p>
    <w:p w14:paraId="13DBFBE9" w14:textId="77777777" w:rsidR="009A6240" w:rsidRDefault="00DF7A96">
      <w:pPr>
        <w:spacing w:after="0" w:line="240" w:lineRule="auto"/>
        <w:ind w:left="-113"/>
        <w:jc w:val="both"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 xml:space="preserve">Odpověď: </w:t>
      </w:r>
      <w:r>
        <w:t xml:space="preserve"> Městská</w:t>
      </w:r>
      <w:proofErr w:type="gramEnd"/>
      <w:r>
        <w:t xml:space="preserve"> část Praha- Troja má pro zakázky malého rozsahu schválenu Směrnici pro zadávání zakázek malého rozsahu, která dle předpokládané hodnoty veřejné zakázky ukládá oslovit určitý počet dodavatelů. Toto se týká i právních služeb mimo výjimku dle § 29 písm. k) ZVZ. Výzvy k podání nabídky jsou zveřejňovány na </w:t>
      </w:r>
      <w:hyperlink r:id="rId5">
        <w:r>
          <w:rPr>
            <w:rStyle w:val="Internetovodkaz"/>
            <w:u w:val="none"/>
          </w:rPr>
          <w:t>https://www.mctroja.cz/vyberova-rizeni/</w:t>
        </w:r>
      </w:hyperlink>
      <w:r>
        <w:t xml:space="preserve">. </w:t>
      </w:r>
    </w:p>
    <w:p w14:paraId="795BDAC1" w14:textId="77777777" w:rsidR="009A6240" w:rsidRDefault="009A6240">
      <w:pPr>
        <w:spacing w:after="0" w:line="240" w:lineRule="auto"/>
        <w:ind w:left="-113"/>
        <w:jc w:val="both"/>
      </w:pPr>
    </w:p>
    <w:p w14:paraId="53E41865" w14:textId="77777777" w:rsidR="009A6240" w:rsidRDefault="00DF7A96">
      <w:pPr>
        <w:spacing w:after="0" w:line="240" w:lineRule="auto"/>
        <w:ind w:left="-113"/>
        <w:jc w:val="both"/>
        <w:rPr>
          <w:b/>
          <w:bCs/>
          <w:i/>
          <w:iCs/>
          <w:u w:val="single"/>
        </w:rPr>
      </w:pPr>
      <w:r>
        <w:rPr>
          <w:b/>
          <w:bCs/>
        </w:rPr>
        <w:t xml:space="preserve">Jaká organizační složka státu je přímo nadřízená povinnému subjektu? </w:t>
      </w:r>
    </w:p>
    <w:p w14:paraId="7088C550" w14:textId="77777777" w:rsidR="009A6240" w:rsidRDefault="009A6240">
      <w:pPr>
        <w:spacing w:after="0" w:line="240" w:lineRule="auto"/>
        <w:ind w:left="-113"/>
        <w:jc w:val="both"/>
      </w:pPr>
    </w:p>
    <w:p w14:paraId="4A067A1C" w14:textId="77777777" w:rsidR="009A6240" w:rsidRDefault="00DF7A96">
      <w:pPr>
        <w:pStyle w:val="Zkladntext"/>
        <w:spacing w:after="0"/>
        <w:ind w:left="-113" w:right="227"/>
        <w:jc w:val="both"/>
      </w:pPr>
      <w:r>
        <w:t>Prosím o sdělení struktury organigramu povinného subjektu (resp. popis své organizační struktury),</w:t>
      </w:r>
      <w:r>
        <w:rPr>
          <w:spacing w:val="-57"/>
        </w:rPr>
        <w:t xml:space="preserve"> </w:t>
      </w:r>
      <w:r>
        <w:t>včetně</w:t>
      </w:r>
      <w:r>
        <w:rPr>
          <w:spacing w:val="-5"/>
        </w:rPr>
        <w:t xml:space="preserve"> </w:t>
      </w:r>
      <w:r>
        <w:t>uvedení</w:t>
      </w:r>
      <w:r>
        <w:rPr>
          <w:spacing w:val="-4"/>
        </w:rPr>
        <w:t xml:space="preserve"> </w:t>
      </w:r>
      <w:r>
        <w:t>odborů,</w:t>
      </w:r>
      <w:r>
        <w:rPr>
          <w:spacing w:val="-4"/>
        </w:rPr>
        <w:t xml:space="preserve"> </w:t>
      </w:r>
      <w:r>
        <w:t>sekcí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oddělení,</w:t>
      </w:r>
      <w:r>
        <w:rPr>
          <w:spacing w:val="-4"/>
        </w:rPr>
        <w:t xml:space="preserve"> </w:t>
      </w:r>
      <w:r>
        <w:t>uvedení</w:t>
      </w:r>
      <w:r>
        <w:rPr>
          <w:spacing w:val="-2"/>
        </w:rPr>
        <w:t xml:space="preserve"> </w:t>
      </w:r>
      <w:r>
        <w:t>počtu</w:t>
      </w:r>
      <w:r>
        <w:rPr>
          <w:spacing w:val="-4"/>
        </w:rPr>
        <w:t xml:space="preserve"> </w:t>
      </w:r>
      <w:r>
        <w:t>zaměstnanců</w:t>
      </w:r>
      <w:r>
        <w:rPr>
          <w:spacing w:val="-5"/>
        </w:rPr>
        <w:t xml:space="preserve"> </w:t>
      </w:r>
      <w:r>
        <w:t>konkrétních</w:t>
      </w:r>
      <w:r>
        <w:rPr>
          <w:spacing w:val="-5"/>
        </w:rPr>
        <w:t xml:space="preserve"> </w:t>
      </w:r>
      <w:r>
        <w:t>odborů,</w:t>
      </w:r>
      <w:r>
        <w:rPr>
          <w:spacing w:val="-4"/>
        </w:rPr>
        <w:t xml:space="preserve"> </w:t>
      </w:r>
      <w:r>
        <w:t>oddělení</w:t>
      </w:r>
      <w:r>
        <w:rPr>
          <w:spacing w:val="-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sekcí</w:t>
      </w:r>
      <w:r>
        <w:rPr>
          <w:spacing w:val="-1"/>
        </w:rPr>
        <w:t xml:space="preserve"> </w:t>
      </w:r>
      <w:r>
        <w:t>a vyjádření vztahu</w:t>
      </w:r>
      <w:r>
        <w:rPr>
          <w:spacing w:val="1"/>
        </w:rPr>
        <w:t xml:space="preserve"> </w:t>
      </w:r>
      <w:r>
        <w:t>nadřízenosti a podřízenosti mezi</w:t>
      </w:r>
      <w:r>
        <w:rPr>
          <w:spacing w:val="-2"/>
        </w:rPr>
        <w:t xml:space="preserve"> </w:t>
      </w:r>
      <w:r>
        <w:t>nimi.</w:t>
      </w:r>
    </w:p>
    <w:p w14:paraId="75875B4F" w14:textId="77777777" w:rsidR="009A6240" w:rsidRDefault="00DF7A96">
      <w:pPr>
        <w:pStyle w:val="Zkladntext"/>
        <w:spacing w:before="1" w:after="200"/>
        <w:ind w:left="-113" w:right="227"/>
        <w:jc w:val="both"/>
      </w:pPr>
      <w:r>
        <w:t>Jakou internetovou adresu profilu zadavatele, včetně vlastního profilu zadavatele ve smyslu § 214</w:t>
      </w:r>
      <w:r>
        <w:rPr>
          <w:spacing w:val="1"/>
        </w:rPr>
        <w:t xml:space="preserve"> </w:t>
      </w:r>
      <w:r>
        <w:t>povinný</w:t>
      </w:r>
      <w:r>
        <w:rPr>
          <w:spacing w:val="-1"/>
        </w:rPr>
        <w:t xml:space="preserve"> </w:t>
      </w:r>
      <w:r>
        <w:t>subjekt používá?</w:t>
      </w:r>
    </w:p>
    <w:p w14:paraId="64C6EF6A" w14:textId="77777777" w:rsidR="009A6240" w:rsidRDefault="00DF7A96">
      <w:pPr>
        <w:spacing w:after="0" w:line="240" w:lineRule="auto"/>
        <w:ind w:left="-113"/>
        <w:jc w:val="both"/>
        <w:rPr>
          <w:i/>
          <w:iCs/>
          <w:u w:val="single"/>
        </w:rPr>
      </w:pPr>
      <w:r>
        <w:rPr>
          <w:i/>
          <w:iCs/>
          <w:u w:val="single"/>
        </w:rPr>
        <w:t>Odpověď:</w:t>
      </w:r>
      <w:r>
        <w:t xml:space="preserve"> Městská část Praha-Troja nemá v samostatné působnosti žádný nadřízený orgán, postupuje v souladu s právním řádem.</w:t>
      </w:r>
    </w:p>
    <w:p w14:paraId="3EDBB051" w14:textId="77777777" w:rsidR="009A6240" w:rsidRDefault="00DF7A96">
      <w:pPr>
        <w:spacing w:after="0" w:line="240" w:lineRule="auto"/>
        <w:ind w:left="-113"/>
        <w:jc w:val="both"/>
        <w:rPr>
          <w:i/>
          <w:iCs/>
          <w:u w:val="single"/>
        </w:rPr>
      </w:pPr>
      <w:r>
        <w:t xml:space="preserve">V přenesené působnosti je nadřízeným orgánem městské části Magistrát </w:t>
      </w:r>
      <w:proofErr w:type="spellStart"/>
      <w:r>
        <w:t>hl.m</w:t>
      </w:r>
      <w:proofErr w:type="spellEnd"/>
      <w:r>
        <w:t>. Prahy, jehož nadřízenými organizačními složkami státu jsou ministerstva a jiné státní správní úřady podle</w:t>
      </w:r>
      <w:r>
        <w:rPr>
          <w:spacing w:val="1"/>
        </w:rPr>
        <w:t xml:space="preserve"> </w:t>
      </w:r>
      <w:r>
        <w:t>věcné a</w:t>
      </w:r>
      <w:r>
        <w:rPr>
          <w:spacing w:val="-2"/>
        </w:rPr>
        <w:t xml:space="preserve"> </w:t>
      </w:r>
      <w:r>
        <w:t>místní působnosti.</w:t>
      </w:r>
    </w:p>
    <w:p w14:paraId="0D07E21B" w14:textId="77777777" w:rsidR="009A6240" w:rsidRDefault="009A6240">
      <w:pPr>
        <w:spacing w:after="0" w:line="240" w:lineRule="auto"/>
        <w:ind w:left="-113"/>
        <w:jc w:val="both"/>
      </w:pPr>
    </w:p>
    <w:p w14:paraId="0279CEA6" w14:textId="77777777" w:rsidR="009A6240" w:rsidRDefault="00DF7A96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 xml:space="preserve">Organizační řád a organizační struktura Úřadu městské části Praha-Troja s uvedením jednotlivých oddělení úřadu, počtu zaměstnanců a znázorněním řídících vztahů je veřejně dostupný na </w:t>
      </w:r>
      <w:hyperlink r:id="rId6">
        <w:r>
          <w:rPr>
            <w:rStyle w:val="Internetovodkaz"/>
            <w:rFonts w:cs="Calibri"/>
            <w:color w:val="000000"/>
            <w:u w:val="none"/>
            <w:lang w:eastAsia="cs-CZ"/>
          </w:rPr>
          <w:t>https://www.mctroja.cz/organizacni-sktruktura/</w:t>
        </w:r>
      </w:hyperlink>
      <w:r>
        <w:rPr>
          <w:rStyle w:val="Internetovodkaz"/>
          <w:rFonts w:cs="Calibri"/>
          <w:color w:val="000000"/>
          <w:u w:val="none"/>
          <w:lang w:eastAsia="cs-CZ"/>
        </w:rPr>
        <w:t xml:space="preserve">. </w:t>
      </w:r>
      <w:r>
        <w:rPr>
          <w:rFonts w:cs="Calibri"/>
          <w:color w:val="000000"/>
          <w:lang w:eastAsia="cs-CZ"/>
        </w:rPr>
        <w:t xml:space="preserve"> </w:t>
      </w:r>
    </w:p>
    <w:p w14:paraId="15F9698F" w14:textId="77777777" w:rsidR="009A6240" w:rsidRDefault="009A6240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</w:p>
    <w:p w14:paraId="1C534FB9" w14:textId="77777777" w:rsidR="009A6240" w:rsidRDefault="00DF7A96">
      <w:pPr>
        <w:spacing w:after="0" w:line="240" w:lineRule="auto"/>
        <w:ind w:left="-113"/>
        <w:jc w:val="both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 xml:space="preserve">Městská část </w:t>
      </w:r>
      <w:proofErr w:type="gramStart"/>
      <w:r>
        <w:rPr>
          <w:rFonts w:cs="Calibri"/>
          <w:color w:val="000000"/>
          <w:lang w:eastAsia="cs-CZ"/>
        </w:rPr>
        <w:t>Praha- Troja</w:t>
      </w:r>
      <w:proofErr w:type="gramEnd"/>
      <w:r>
        <w:rPr>
          <w:rFonts w:cs="Calibri"/>
          <w:color w:val="000000"/>
          <w:lang w:eastAsia="cs-CZ"/>
        </w:rPr>
        <w:t xml:space="preserve"> používá profil zadavatele dostupný na této internetové adrese  </w:t>
      </w:r>
      <w:hyperlink r:id="rId7">
        <w:r>
          <w:rPr>
            <w:rStyle w:val="Internetovodkaz"/>
            <w:rFonts w:cs="Calibri"/>
            <w:color w:val="000000"/>
            <w:u w:val="none"/>
            <w:lang w:eastAsia="cs-CZ"/>
          </w:rPr>
          <w:t>https://www.vhodne-uverejneni.cz/profil/45246858</w:t>
        </w:r>
      </w:hyperlink>
      <w:r>
        <w:rPr>
          <w:rStyle w:val="Internetovodkaz"/>
          <w:rFonts w:cs="Calibri"/>
          <w:color w:val="000000"/>
          <w:u w:val="none"/>
          <w:lang w:eastAsia="cs-CZ"/>
        </w:rPr>
        <w:t xml:space="preserve">. </w:t>
      </w:r>
      <w:r>
        <w:rPr>
          <w:rFonts w:cs="Calibri"/>
          <w:color w:val="000000"/>
          <w:lang w:eastAsia="cs-CZ"/>
        </w:rPr>
        <w:t xml:space="preserve">  </w:t>
      </w:r>
    </w:p>
    <w:p w14:paraId="43261C3C" w14:textId="77777777" w:rsidR="009A6240" w:rsidRDefault="00DF7A96">
      <w:pPr>
        <w:spacing w:after="0" w:line="240" w:lineRule="auto"/>
        <w:jc w:val="both"/>
      </w:pPr>
      <w:r>
        <w:t xml:space="preserve"> </w:t>
      </w:r>
    </w:p>
    <w:p w14:paraId="28161432" w14:textId="77777777" w:rsidR="009A6240" w:rsidRDefault="009A6240">
      <w:pPr>
        <w:spacing w:after="0" w:line="240" w:lineRule="auto"/>
        <w:jc w:val="both"/>
      </w:pPr>
    </w:p>
    <w:p w14:paraId="7211994E" w14:textId="77777777" w:rsidR="009A6240" w:rsidRDefault="00DF7A96">
      <w:pPr>
        <w:spacing w:after="0" w:line="240" w:lineRule="auto"/>
        <w:ind w:left="-142"/>
        <w:jc w:val="both"/>
      </w:pPr>
      <w:r>
        <w:rPr>
          <w:i/>
        </w:rPr>
        <w:t xml:space="preserve">Podle § 5 odst. 3 </w:t>
      </w:r>
      <w:proofErr w:type="spellStart"/>
      <w:r>
        <w:rPr>
          <w:i/>
        </w:rPr>
        <w:t>InfZ</w:t>
      </w:r>
      <w:proofErr w:type="spellEnd"/>
      <w:r>
        <w:rPr>
          <w:i/>
        </w:rPr>
        <w:t xml:space="preserve"> bude poskytnutá informace zveřejněna způsobem umožňujícím dálkový přístup na internetové stránce Městské části Praha –Troja (http://www.mctroja.cz)</w:t>
      </w:r>
    </w:p>
    <w:p w14:paraId="283328B1" w14:textId="77777777" w:rsidR="009A6240" w:rsidRDefault="009A6240">
      <w:pPr>
        <w:tabs>
          <w:tab w:val="left" w:pos="-142"/>
        </w:tabs>
        <w:spacing w:after="0" w:line="240" w:lineRule="auto"/>
        <w:jc w:val="both"/>
      </w:pPr>
    </w:p>
    <w:p w14:paraId="4DACE2BF" w14:textId="77777777" w:rsidR="009A6240" w:rsidRDefault="009A6240">
      <w:pPr>
        <w:tabs>
          <w:tab w:val="left" w:pos="-142"/>
        </w:tabs>
        <w:spacing w:after="0" w:line="240" w:lineRule="auto"/>
        <w:jc w:val="both"/>
      </w:pPr>
    </w:p>
    <w:p w14:paraId="7C83880F" w14:textId="77777777" w:rsidR="009A6240" w:rsidRDefault="009A6240">
      <w:pPr>
        <w:tabs>
          <w:tab w:val="left" w:pos="-142"/>
        </w:tabs>
        <w:spacing w:after="0" w:line="240" w:lineRule="auto"/>
        <w:jc w:val="both"/>
      </w:pPr>
    </w:p>
    <w:p w14:paraId="5D079D03" w14:textId="77777777" w:rsidR="009A6240" w:rsidRDefault="00DF7A96">
      <w:pPr>
        <w:tabs>
          <w:tab w:val="left" w:pos="-142"/>
        </w:tabs>
        <w:spacing w:after="0" w:line="240" w:lineRule="auto"/>
        <w:ind w:left="-142"/>
        <w:jc w:val="both"/>
      </w:pPr>
      <w:r>
        <w:t>Ing. Irena Marková v.r.</w:t>
      </w:r>
    </w:p>
    <w:p w14:paraId="081F55C8" w14:textId="77777777" w:rsidR="009A6240" w:rsidRDefault="00DF7A96">
      <w:pPr>
        <w:tabs>
          <w:tab w:val="left" w:pos="-142"/>
        </w:tabs>
        <w:spacing w:after="0" w:line="240" w:lineRule="auto"/>
        <w:ind w:left="-142"/>
        <w:jc w:val="both"/>
      </w:pPr>
      <w:r>
        <w:t>tajemnice úřadu městské části</w:t>
      </w:r>
    </w:p>
    <w:p w14:paraId="352A9D64" w14:textId="77777777" w:rsidR="009A6240" w:rsidRDefault="009A6240">
      <w:pPr>
        <w:tabs>
          <w:tab w:val="left" w:pos="-142"/>
        </w:tabs>
        <w:spacing w:after="0" w:line="240" w:lineRule="auto"/>
        <w:ind w:left="-142"/>
        <w:jc w:val="both"/>
      </w:pPr>
    </w:p>
    <w:p w14:paraId="3EE4E6F6" w14:textId="77777777" w:rsidR="009A6240" w:rsidRDefault="009A6240">
      <w:pPr>
        <w:tabs>
          <w:tab w:val="left" w:pos="-142"/>
        </w:tabs>
        <w:spacing w:after="0" w:line="240" w:lineRule="auto"/>
        <w:ind w:left="-142"/>
        <w:jc w:val="both"/>
      </w:pPr>
    </w:p>
    <w:p w14:paraId="6E7D38D7" w14:textId="77777777" w:rsidR="009A6240" w:rsidRDefault="009A6240">
      <w:pPr>
        <w:tabs>
          <w:tab w:val="left" w:pos="-142"/>
        </w:tabs>
        <w:spacing w:after="0" w:line="240" w:lineRule="auto"/>
        <w:ind w:left="-142"/>
        <w:jc w:val="both"/>
      </w:pPr>
    </w:p>
    <w:p w14:paraId="54FA8943" w14:textId="77777777" w:rsidR="009A6240" w:rsidRDefault="00DF7A96">
      <w:pPr>
        <w:tabs>
          <w:tab w:val="left" w:pos="-142"/>
        </w:tabs>
        <w:spacing w:after="0" w:line="240" w:lineRule="auto"/>
        <w:ind w:left="-142"/>
        <w:jc w:val="both"/>
      </w:pPr>
      <w:r>
        <w:t>za správnost: R. Zajícová</w:t>
      </w:r>
    </w:p>
    <w:sectPr w:rsidR="009A6240">
      <w:pgSz w:w="11906" w:h="16838"/>
      <w:pgMar w:top="1191" w:right="1247" w:bottom="1191" w:left="153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40"/>
    <w:rsid w:val="00165A4C"/>
    <w:rsid w:val="009A6240"/>
    <w:rsid w:val="00D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23B5"/>
  <w15:docId w15:val="{2052DEF1-E1EF-4DA5-8C61-F629439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mbria" w:eastAsia="Calibri" w:hAnsi="Cambria" w:cs="Times New Roman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eastAsia="Calibri" w:hAnsi="Calibri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eastAsia="Calibri" w:hAnsi="Calibri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Calibri"/>
      <w:color w:val="000000"/>
      <w:lang w:eastAsia="cs-CZ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142">
    <w:name w:val="s142"/>
    <w:basedOn w:val="Standardnpsmoodstavce"/>
    <w:qFormat/>
  </w:style>
  <w:style w:type="character" w:customStyle="1" w:styleId="Symbolyproslovn">
    <w:name w:val="Symboly pro číslování"/>
    <w:qFormat/>
  </w:style>
  <w:style w:type="character" w:customStyle="1" w:styleId="ZkladntextChar">
    <w:name w:val="Základní text Char"/>
    <w:basedOn w:val="Standardnpsmoodstavce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Default">
    <w:name w:val="Default"/>
    <w:qFormat/>
    <w:rPr>
      <w:rFonts w:ascii="Cambria" w:eastAsia="Calibri" w:hAnsi="Cambria" w:cs="Cambria"/>
      <w:color w:val="000000"/>
      <w:lang w:bidi="ar-SA"/>
    </w:rPr>
  </w:style>
  <w:style w:type="paragraph" w:styleId="Zkladntext2">
    <w:name w:val="Body Text 2"/>
    <w:basedOn w:val="Normln"/>
    <w:qFormat/>
    <w:pPr>
      <w:widowControl w:val="0"/>
    </w:pPr>
    <w:rPr>
      <w:rFonts w:ascii="Arial" w:hAnsi="Arial" w:cs="Arial"/>
      <w:bCs/>
      <w:sz w:val="20"/>
    </w:rPr>
  </w:style>
  <w:style w:type="paragraph" w:styleId="Normlnweb">
    <w:name w:val="Normal (Web)"/>
    <w:basedOn w:val="Normln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lntabulka1">
    <w:name w:val="Normální tabulka1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Odrka">
    <w:name w:val="Odrážka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hodne-uverejneni.cz/profil/452468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troja.cz/organizacni-sktruktura/" TargetMode="External"/><Relationship Id="rId5" Type="http://schemas.openxmlformats.org/officeDocument/2006/relationships/hyperlink" Target="https://www.mctroja.cz/vyberova-rizeni/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triskova</dc:creator>
  <cp:keywords>  </cp:keywords>
  <dc:description/>
  <cp:lastModifiedBy>MS Office</cp:lastModifiedBy>
  <cp:revision>2</cp:revision>
  <dcterms:created xsi:type="dcterms:W3CDTF">2021-03-26T13:36:00Z</dcterms:created>
  <dcterms:modified xsi:type="dcterms:W3CDTF">2021-03-26T13:36:00Z</dcterms:modified>
  <dc:language>cs-CZ</dc:language>
</cp:coreProperties>
</file>