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E25C" w14:textId="77777777" w:rsidR="00D46D7F" w:rsidRDefault="005A0579">
      <w:pPr>
        <w:ind w:left="2126" w:hanging="2126"/>
        <w:jc w:val="both"/>
        <w:rPr>
          <w:b/>
          <w:iCs/>
          <w:sz w:val="32"/>
          <w:szCs w:val="32"/>
        </w:rPr>
      </w:pPr>
      <w:r>
        <w:rPr>
          <w:rFonts w:ascii="Calibri" w:hAnsi="Calibri" w:cs="Calibri"/>
          <w:i/>
          <w:noProof/>
          <w:sz w:val="22"/>
        </w:rPr>
        <w:drawing>
          <wp:inline distT="0" distB="0" distL="0" distR="0" wp14:anchorId="47D8BBF9" wp14:editId="60B01F70">
            <wp:extent cx="608965" cy="674370"/>
            <wp:effectExtent l="0" t="0" r="0" b="0"/>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5"/>
                    <a:srcRect l="-14" t="-11" r="-14" b="-11"/>
                    <a:stretch>
                      <a:fillRect/>
                    </a:stretch>
                  </pic:blipFill>
                  <pic:spPr bwMode="auto">
                    <a:xfrm>
                      <a:off x="0" y="0"/>
                      <a:ext cx="608965" cy="674370"/>
                    </a:xfrm>
                    <a:prstGeom prst="rect">
                      <a:avLst/>
                    </a:prstGeom>
                  </pic:spPr>
                </pic:pic>
              </a:graphicData>
            </a:graphic>
          </wp:inline>
        </w:drawing>
      </w:r>
      <w:r>
        <w:rPr>
          <w:rFonts w:ascii="Calibri" w:hAnsi="Calibri" w:cs="Calibri"/>
          <w:i/>
          <w:sz w:val="22"/>
        </w:rPr>
        <w:tab/>
      </w:r>
      <w:r>
        <w:rPr>
          <w:b/>
          <w:iCs/>
          <w:sz w:val="32"/>
          <w:szCs w:val="32"/>
        </w:rPr>
        <w:t>MĚSTSKÁ ČÁST PRAHA-TROJA</w:t>
      </w:r>
    </w:p>
    <w:p w14:paraId="61EDC7AD" w14:textId="6CC0AA8B" w:rsidR="00D46D7F" w:rsidRDefault="005A0579">
      <w:pPr>
        <w:spacing w:before="280" w:after="280"/>
        <w:ind w:left="2126" w:hanging="2126"/>
        <w:jc w:val="center"/>
      </w:pPr>
      <w:r>
        <w:rPr>
          <w:b/>
          <w:sz w:val="28"/>
          <w:szCs w:val="28"/>
          <w:u w:val="single"/>
        </w:rPr>
        <w:t>Návrh rozpočtu Městské části Praha-Troja na rok 202</w:t>
      </w:r>
      <w:r w:rsidR="00BB2F2C">
        <w:rPr>
          <w:b/>
          <w:sz w:val="28"/>
          <w:szCs w:val="28"/>
          <w:u w:val="single"/>
        </w:rPr>
        <w:t>2</w:t>
      </w:r>
    </w:p>
    <w:p w14:paraId="7A121308" w14:textId="77777777" w:rsidR="00D46D7F" w:rsidRDefault="00D46D7F">
      <w:pPr>
        <w:pStyle w:val="Nadpis1"/>
        <w:jc w:val="center"/>
        <w:rPr>
          <w:b w:val="0"/>
          <w:szCs w:val="28"/>
          <w:u w:val="single"/>
        </w:rPr>
      </w:pPr>
    </w:p>
    <w:p w14:paraId="22711C49" w14:textId="729A23CE" w:rsidR="00D46D7F" w:rsidRDefault="005A0579">
      <w:pPr>
        <w:pStyle w:val="Nadpis1"/>
        <w:jc w:val="center"/>
      </w:pPr>
      <w:r>
        <w:rPr>
          <w:szCs w:val="28"/>
        </w:rPr>
        <w:t>Komentář k návrhu rozpočtu městské části Praha-Troja na rok 202</w:t>
      </w:r>
      <w:r w:rsidR="00BB2F2C">
        <w:rPr>
          <w:szCs w:val="28"/>
        </w:rPr>
        <w:t>2</w:t>
      </w:r>
    </w:p>
    <w:p w14:paraId="6856D217" w14:textId="77777777" w:rsidR="00D46D7F" w:rsidRDefault="00D46D7F">
      <w:pPr>
        <w:rPr>
          <w:sz w:val="20"/>
          <w:szCs w:val="28"/>
        </w:rPr>
      </w:pPr>
    </w:p>
    <w:p w14:paraId="65C6B7AF" w14:textId="77777777" w:rsidR="00D46D7F" w:rsidRDefault="00D46D7F">
      <w:pPr>
        <w:pStyle w:val="Textvbloku"/>
        <w:rPr>
          <w:b/>
          <w:bCs/>
          <w:sz w:val="20"/>
        </w:rPr>
      </w:pPr>
    </w:p>
    <w:p w14:paraId="1381B408" w14:textId="611FED83" w:rsidR="00D46D7F" w:rsidRDefault="005A0579">
      <w:pPr>
        <w:pStyle w:val="Textvbloku"/>
      </w:pPr>
      <w:r>
        <w:rPr>
          <w:b/>
          <w:bCs/>
        </w:rPr>
        <w:t xml:space="preserve">Rozpočet </w:t>
      </w:r>
      <w:r>
        <w:t>městské části Praha-Troja na rok 202</w:t>
      </w:r>
      <w:r w:rsidR="00BB2F2C">
        <w:t>2</w:t>
      </w:r>
      <w:r>
        <w:t xml:space="preserve"> je zpracován ve vazbě na platné zákony: zákon č.131/2000 Sb. (zákon o hlavním městě Praze), ve znění pozdějších předpisů a zákona č.250/2000 Sb. (zákon o rozpočtových pravidlech územních rozpočtů) ve znění pozdějších předpisů, vyhlášky č.323/2002 Sb., o rozpočtové skladbě, ve znění pozdějších předpisů a zákona č. 23/2017 Sb., o pravidlech rozpočtové odpovědnosti, jako </w:t>
      </w:r>
      <w:r>
        <w:rPr>
          <w:b/>
          <w:bCs/>
        </w:rPr>
        <w:t xml:space="preserve">schodkový </w:t>
      </w:r>
      <w:r>
        <w:t>s tím, že schodek je v plné výši kryt financováním z prostředků minulých období.</w:t>
      </w:r>
    </w:p>
    <w:p w14:paraId="71E44941" w14:textId="77777777" w:rsidR="00D46D7F" w:rsidRDefault="00D46D7F">
      <w:pPr>
        <w:pStyle w:val="Textvbloku"/>
        <w:rPr>
          <w:b/>
          <w:bCs/>
        </w:rPr>
      </w:pPr>
    </w:p>
    <w:p w14:paraId="5DDB4536" w14:textId="5E99AECB" w:rsidR="00D46D7F" w:rsidRDefault="005A0579">
      <w:pPr>
        <w:ind w:left="-540" w:right="-468"/>
        <w:jc w:val="both"/>
      </w:pPr>
      <w:r>
        <w:rPr>
          <w:b/>
          <w:bCs/>
        </w:rPr>
        <w:t>Celkové navržené příjmy jsou ve výši 1</w:t>
      </w:r>
      <w:r w:rsidR="00BB2F2C">
        <w:rPr>
          <w:b/>
          <w:bCs/>
        </w:rPr>
        <w:t>3 768,20</w:t>
      </w:r>
      <w:r>
        <w:rPr>
          <w:b/>
          <w:bCs/>
        </w:rPr>
        <w:t xml:space="preserve"> tis. Kč, výdaje ve výši 1</w:t>
      </w:r>
      <w:r w:rsidR="00BB2F2C">
        <w:rPr>
          <w:b/>
          <w:bCs/>
        </w:rPr>
        <w:t>9 216,20</w:t>
      </w:r>
      <w:r>
        <w:rPr>
          <w:b/>
          <w:bCs/>
        </w:rPr>
        <w:t xml:space="preserve"> tis. Kč a financování ve výši </w:t>
      </w:r>
      <w:r w:rsidR="00BB2F2C">
        <w:rPr>
          <w:b/>
          <w:bCs/>
        </w:rPr>
        <w:t>5 448</w:t>
      </w:r>
      <w:r>
        <w:rPr>
          <w:b/>
          <w:bCs/>
        </w:rPr>
        <w:t xml:space="preserve">,0 tis. Kč. </w:t>
      </w:r>
      <w:r>
        <w:t xml:space="preserve">Výdaje jsou členěny na kapitálové výdaje ve výši </w:t>
      </w:r>
      <w:r w:rsidR="00BB2F2C">
        <w:t>4 190</w:t>
      </w:r>
      <w:r>
        <w:t>,0 tis. Kč a na běžné výdaje ve výši 1</w:t>
      </w:r>
      <w:r w:rsidR="00BB2F2C">
        <w:t>5 026,2</w:t>
      </w:r>
      <w:r>
        <w:t xml:space="preserve"> tis. Kč. </w:t>
      </w:r>
    </w:p>
    <w:p w14:paraId="3FFB1989" w14:textId="41148E84" w:rsidR="00D46D7F" w:rsidRDefault="005A0579">
      <w:pPr>
        <w:ind w:left="-540" w:right="-468"/>
        <w:jc w:val="both"/>
      </w:pPr>
      <w:r>
        <w:rPr>
          <w:b/>
          <w:bCs/>
        </w:rPr>
        <w:t>(</w:t>
      </w:r>
      <w:r>
        <w:t xml:space="preserve">Městská část Praha-Troja předpokládá ještě kapitálové výdaje ve výši </w:t>
      </w:r>
      <w:r w:rsidR="00BB2F2C">
        <w:t>17,6</w:t>
      </w:r>
      <w:r>
        <w:t xml:space="preserve"> mil. Kč hrazených z nevyčerpaných dotací poskytnutých v minulých letech, o jejichž ponechání požádala městská část </w:t>
      </w:r>
      <w:proofErr w:type="spellStart"/>
      <w:r>
        <w:t>hl.m.Prahu</w:t>
      </w:r>
      <w:proofErr w:type="spellEnd"/>
      <w:r>
        <w:t>. Tyto prostředky ale nejsou předmětem návrhu rozpočtu na rok 202</w:t>
      </w:r>
      <w:r w:rsidR="00BB2F2C">
        <w:t>2</w:t>
      </w:r>
      <w:r>
        <w:t xml:space="preserve">. Do rozpočtu budou zařazeny po schválení Zastupitelstvem </w:t>
      </w:r>
      <w:proofErr w:type="spellStart"/>
      <w:r>
        <w:t>hl.m.Prahy</w:t>
      </w:r>
      <w:proofErr w:type="spellEnd"/>
      <w:r>
        <w:t>).</w:t>
      </w:r>
    </w:p>
    <w:p w14:paraId="1F0F6C59" w14:textId="77777777" w:rsidR="00D46D7F" w:rsidRDefault="00D46D7F">
      <w:pPr>
        <w:ind w:left="-540" w:right="-468"/>
        <w:jc w:val="both"/>
        <w:rPr>
          <w:b/>
          <w:bCs/>
        </w:rPr>
      </w:pPr>
    </w:p>
    <w:p w14:paraId="2DBC4210" w14:textId="77777777" w:rsidR="00D46D7F" w:rsidRDefault="005A0579">
      <w:pPr>
        <w:ind w:left="-540" w:right="-468"/>
        <w:jc w:val="both"/>
        <w:rPr>
          <w:b/>
          <w:bCs/>
        </w:rPr>
      </w:pPr>
      <w:r>
        <w:rPr>
          <w:b/>
          <w:bCs/>
        </w:rPr>
        <w:t>Příjmy:</w:t>
      </w:r>
    </w:p>
    <w:p w14:paraId="2A3F2E57" w14:textId="43EBE3A5" w:rsidR="00D46D7F" w:rsidRDefault="005A0579">
      <w:pPr>
        <w:ind w:left="-540" w:right="-468"/>
        <w:jc w:val="both"/>
      </w:pPr>
      <w:r>
        <w:t>Příjmy jsou tvořeny vlastními příjmy včetně daně z nemovitostí ve výši 3</w:t>
      </w:r>
      <w:r w:rsidR="00BB2F2C">
        <w:t> 915,9</w:t>
      </w:r>
      <w:r>
        <w:t xml:space="preserve"> tis. Kč, podílu na rozpočtu </w:t>
      </w:r>
      <w:proofErr w:type="spellStart"/>
      <w:r>
        <w:t>hl.m.Prahy</w:t>
      </w:r>
      <w:proofErr w:type="spellEnd"/>
      <w:r>
        <w:t xml:space="preserve"> ve výši 8 </w:t>
      </w:r>
      <w:r w:rsidR="00BB2F2C">
        <w:t>561</w:t>
      </w:r>
      <w:r>
        <w:t>,00 tis. Kč, dotací ze státního rozpočtu ve výši 4</w:t>
      </w:r>
      <w:r w:rsidR="00BB2F2C">
        <w:t>6,3</w:t>
      </w:r>
      <w:r>
        <w:t xml:space="preserve"> tis. Kč, převodem příjmů z hospodářské činnosti ve výši </w:t>
      </w:r>
      <w:r w:rsidR="00BB2F2C">
        <w:t>1 2</w:t>
      </w:r>
      <w:r>
        <w:t xml:space="preserve">00,0 tis. Kč a kapitálovými příjmy 45 tis. Kč. Dále jsou zapojeny prostředky minulých </w:t>
      </w:r>
      <w:proofErr w:type="gramStart"/>
      <w:r>
        <w:t>období - převod</w:t>
      </w:r>
      <w:proofErr w:type="gramEnd"/>
      <w:r>
        <w:t xml:space="preserve"> nevyčerpaných prostředků z minulých let na ZBÚ ve výši </w:t>
      </w:r>
      <w:r w:rsidR="00644F6A">
        <w:t>5 275</w:t>
      </w:r>
      <w:r>
        <w:t xml:space="preserve">,0 tis. Kč a prostředky fondu zaměstnavatele 173 tis. Kč. </w:t>
      </w:r>
    </w:p>
    <w:p w14:paraId="54E180DE" w14:textId="77777777" w:rsidR="00D46D7F" w:rsidRDefault="00D46D7F">
      <w:pPr>
        <w:ind w:left="-540" w:right="-468"/>
        <w:jc w:val="both"/>
      </w:pPr>
    </w:p>
    <w:p w14:paraId="6A19A681" w14:textId="77777777" w:rsidR="00D46D7F" w:rsidRDefault="005A0579">
      <w:pPr>
        <w:ind w:left="-540" w:right="-468"/>
        <w:jc w:val="both"/>
      </w:pPr>
      <w:r>
        <w:rPr>
          <w:b/>
          <w:bCs/>
        </w:rPr>
        <w:t>Výdaje:</w:t>
      </w:r>
    </w:p>
    <w:p w14:paraId="7515853E" w14:textId="77777777" w:rsidR="00D46D7F" w:rsidRDefault="005A0579">
      <w:pPr>
        <w:ind w:left="-540" w:right="-468"/>
        <w:jc w:val="both"/>
      </w:pPr>
      <w:r>
        <w:rPr>
          <w:b/>
          <w:bCs/>
        </w:rPr>
        <w:t>Mateřské školy –</w:t>
      </w:r>
      <w:r>
        <w:t xml:space="preserve"> příspěvek na chod příspěvkové organizace ve výši 800 tis. Kč. </w:t>
      </w:r>
    </w:p>
    <w:p w14:paraId="55A58851" w14:textId="6089CDB1" w:rsidR="00D46D7F" w:rsidRDefault="005A0579">
      <w:pPr>
        <w:ind w:left="-540" w:right="-468"/>
        <w:jc w:val="both"/>
      </w:pPr>
      <w:r>
        <w:rPr>
          <w:b/>
          <w:bCs/>
        </w:rPr>
        <w:t>Základní školy –</w:t>
      </w:r>
      <w:r>
        <w:t xml:space="preserve"> příspěvek na provoz základní školy 1 </w:t>
      </w:r>
      <w:r w:rsidR="00644F6A">
        <w:t>1</w:t>
      </w:r>
      <w:r>
        <w:t xml:space="preserve">50,00 tis. Kč. </w:t>
      </w:r>
    </w:p>
    <w:p w14:paraId="4A6B81BD" w14:textId="16DD7BD5" w:rsidR="00D46D7F" w:rsidRDefault="005A0579">
      <w:pPr>
        <w:ind w:left="-540" w:right="-468"/>
        <w:jc w:val="both"/>
      </w:pPr>
      <w:r>
        <w:rPr>
          <w:b/>
          <w:bCs/>
        </w:rPr>
        <w:t>Kultura –</w:t>
      </w:r>
      <w:r>
        <w:t xml:space="preserve"> zahrnuje výdaje pouze na kulturní akce</w:t>
      </w:r>
      <w:r w:rsidR="00644F6A">
        <w:t xml:space="preserve"> (koncerty, výstavy)</w:t>
      </w:r>
      <w:r>
        <w:t>, běžné výdaje na úrovni roku 2019. V roce 202</w:t>
      </w:r>
      <w:r w:rsidR="00644F6A">
        <w:t xml:space="preserve">2 již nepředpokládáme velká </w:t>
      </w:r>
      <w:r>
        <w:t xml:space="preserve">omezení akcí. Pokud některé nebude možné realizovat klasicky, budou hledány náhradní řešení. V této položce jsou zahrnuty platy zaměstnanců ostrahy galerie, ostatní osobní výdaje na jednorázové dohody na jednotlivé kulturní akce. Největšími položkami jsou nákup služeb, kam se zahrnují náklady na účinkující na akcích a zajištění akcí a položka odměny za užití duševního vlastnictví, kam patří odměna kurátora galerie, tvorba pozvánek a plakátů na akce, platby OSA </w:t>
      </w:r>
      <w:proofErr w:type="gramStart"/>
      <w:r>
        <w:t>apod..</w:t>
      </w:r>
      <w:proofErr w:type="gramEnd"/>
      <w:r>
        <w:t xml:space="preserve"> Další větší položkou je materiál na akce, kam patří i tisk pozvánek a plakátů.</w:t>
      </w:r>
    </w:p>
    <w:p w14:paraId="195D023C" w14:textId="77777777" w:rsidR="00D46D7F" w:rsidRDefault="005A0579">
      <w:pPr>
        <w:ind w:left="-540" w:right="-468"/>
        <w:jc w:val="both"/>
      </w:pPr>
      <w:r>
        <w:rPr>
          <w:b/>
          <w:bCs/>
        </w:rPr>
        <w:t xml:space="preserve">Pořízení, zachování a obnova </w:t>
      </w:r>
      <w:proofErr w:type="spellStart"/>
      <w:r>
        <w:rPr>
          <w:b/>
          <w:bCs/>
        </w:rPr>
        <w:t>hist</w:t>
      </w:r>
      <w:proofErr w:type="spellEnd"/>
      <w:r>
        <w:rPr>
          <w:b/>
          <w:bCs/>
        </w:rPr>
        <w:t xml:space="preserve">. památek – </w:t>
      </w:r>
      <w:r>
        <w:t xml:space="preserve">elektrická energie kaple </w:t>
      </w:r>
      <w:proofErr w:type="spellStart"/>
      <w:r>
        <w:t>sv.Václava</w:t>
      </w:r>
      <w:proofErr w:type="spellEnd"/>
      <w:r>
        <w:t xml:space="preserve"> a náklady na péči a opravu a údržbu kaple </w:t>
      </w:r>
      <w:proofErr w:type="spellStart"/>
      <w:r>
        <w:t>sv.Václava</w:t>
      </w:r>
      <w:proofErr w:type="spellEnd"/>
      <w:r>
        <w:t xml:space="preserve">.  </w:t>
      </w:r>
    </w:p>
    <w:p w14:paraId="202B71B8" w14:textId="783ABD5B" w:rsidR="00D46D7F" w:rsidRDefault="005A0579">
      <w:pPr>
        <w:ind w:left="-540" w:right="-468"/>
        <w:jc w:val="both"/>
      </w:pPr>
      <w:r>
        <w:rPr>
          <w:b/>
          <w:bCs/>
        </w:rPr>
        <w:t>Ostatní záležitosti sdělovacích prostředků –</w:t>
      </w:r>
      <w:r>
        <w:rPr>
          <w:bCs/>
        </w:rPr>
        <w:t xml:space="preserve"> zde se zařazují náklady na </w:t>
      </w:r>
      <w:r>
        <w:t>grafické zpracování, tisk a roznášku časopisu TROJA</w:t>
      </w:r>
      <w:r w:rsidR="00644F6A">
        <w:t>,</w:t>
      </w:r>
      <w:r>
        <w:t xml:space="preserve"> </w:t>
      </w:r>
      <w:proofErr w:type="spellStart"/>
      <w:r>
        <w:t>HOBULETu</w:t>
      </w:r>
      <w:proofErr w:type="spellEnd"/>
      <w:r w:rsidR="00644F6A">
        <w:t xml:space="preserve"> a ŠESTKY.</w:t>
      </w:r>
    </w:p>
    <w:p w14:paraId="3DB662FB" w14:textId="3050D46F" w:rsidR="00D46D7F" w:rsidRDefault="005A0579">
      <w:pPr>
        <w:ind w:left="-540" w:right="-468"/>
        <w:jc w:val="both"/>
      </w:pPr>
      <w:r>
        <w:rPr>
          <w:b/>
          <w:bCs/>
        </w:rPr>
        <w:t xml:space="preserve">Ostatní záležitosti kultury, církví a </w:t>
      </w:r>
      <w:proofErr w:type="spellStart"/>
      <w:r>
        <w:rPr>
          <w:b/>
          <w:bCs/>
        </w:rPr>
        <w:t>sděl.prostř</w:t>
      </w:r>
      <w:proofErr w:type="spellEnd"/>
      <w:r>
        <w:rPr>
          <w:b/>
          <w:bCs/>
        </w:rPr>
        <w:t>. –</w:t>
      </w:r>
      <w:r>
        <w:t xml:space="preserve"> společenské akce Trojské vinobraní, Trojská buchta, Trojský bál, Rozsvěcení vánočního stromu</w:t>
      </w:r>
      <w:r w:rsidR="00644F6A">
        <w:t>, oslava 30. výročí samostatné MČ a 100 let od připojení Troje ke Praze</w:t>
      </w:r>
      <w:r>
        <w:t xml:space="preserve"> a náklady spojené s těmito akcemi – obdobně jako u kultury.  </w:t>
      </w:r>
    </w:p>
    <w:p w14:paraId="1900076F" w14:textId="285BB7A4" w:rsidR="00D46D7F" w:rsidRDefault="005A0579">
      <w:pPr>
        <w:ind w:left="-540" w:right="-468"/>
        <w:jc w:val="both"/>
      </w:pPr>
      <w:r>
        <w:rPr>
          <w:b/>
          <w:bCs/>
        </w:rPr>
        <w:t>Sportovní zařízení v majetku obce –</w:t>
      </w:r>
      <w:r>
        <w:t xml:space="preserve"> </w:t>
      </w:r>
      <w:r w:rsidR="00644F6A">
        <w:t xml:space="preserve">investiční prostředky na víceúčelové hřiště v Podhoří – doplatek k poskytnuté dotaci a </w:t>
      </w:r>
      <w:r>
        <w:t>prostředky na pravidelnou kontrolu a opravu veřejných hřišť.</w:t>
      </w:r>
    </w:p>
    <w:p w14:paraId="3129F568" w14:textId="61A0DA41" w:rsidR="00D46D7F" w:rsidRDefault="005A0579">
      <w:pPr>
        <w:ind w:left="-540" w:right="-468"/>
        <w:jc w:val="both"/>
      </w:pPr>
      <w:r>
        <w:rPr>
          <w:b/>
          <w:bCs/>
        </w:rPr>
        <w:t>Ostatní sportovní činnost –</w:t>
      </w:r>
      <w:r>
        <w:t xml:space="preserve"> náklady na pořádání Trojského dne.</w:t>
      </w:r>
    </w:p>
    <w:p w14:paraId="72E1DAFC" w14:textId="1BA9915D" w:rsidR="00644F6A" w:rsidRDefault="00644F6A">
      <w:pPr>
        <w:ind w:left="-540" w:right="-468"/>
        <w:jc w:val="both"/>
      </w:pPr>
      <w:r>
        <w:rPr>
          <w:b/>
          <w:bCs/>
        </w:rPr>
        <w:t>Všeobecná ambulantní péče –</w:t>
      </w:r>
      <w:r>
        <w:t xml:space="preserve"> nový kotel </w:t>
      </w:r>
      <w:proofErr w:type="spellStart"/>
      <w:r>
        <w:t>ústř</w:t>
      </w:r>
      <w:proofErr w:type="spellEnd"/>
      <w:r>
        <w:t>. topení ve zdravotním středisku</w:t>
      </w:r>
    </w:p>
    <w:p w14:paraId="31B86695" w14:textId="77777777" w:rsidR="00D46D7F" w:rsidRDefault="005A0579">
      <w:pPr>
        <w:ind w:left="-540" w:right="-468"/>
        <w:jc w:val="both"/>
      </w:pPr>
      <w:r>
        <w:rPr>
          <w:b/>
          <w:bCs/>
        </w:rPr>
        <w:t>Veřejné osvětlení –</w:t>
      </w:r>
      <w:r>
        <w:t xml:space="preserve"> prostředky na vánoční osvětlení stromu u základní školy.</w:t>
      </w:r>
    </w:p>
    <w:p w14:paraId="0A4426C4" w14:textId="77777777" w:rsidR="00D46D7F" w:rsidRDefault="005A0579">
      <w:pPr>
        <w:ind w:left="-540" w:right="-468"/>
        <w:jc w:val="both"/>
      </w:pPr>
      <w:r>
        <w:rPr>
          <w:b/>
          <w:bCs/>
        </w:rPr>
        <w:t>Komunální služby a územní rozvoj –</w:t>
      </w:r>
      <w:r>
        <w:t xml:space="preserve"> elektrická energie pro sanitární kontejner Vodácká</w:t>
      </w:r>
    </w:p>
    <w:p w14:paraId="738FEF5D" w14:textId="6487A750" w:rsidR="00D46D7F" w:rsidRDefault="005A0579">
      <w:pPr>
        <w:ind w:left="-540" w:right="-468"/>
        <w:jc w:val="both"/>
      </w:pPr>
      <w:r>
        <w:rPr>
          <w:b/>
          <w:bCs/>
        </w:rPr>
        <w:lastRenderedPageBreak/>
        <w:t>Ostatní záležitosti bydlení, komunálních služeb –</w:t>
      </w:r>
      <w:r>
        <w:t xml:space="preserve"> Běžné výdaje – nájemné dle nájemních smluv se Státním pozemkovým úřadem, vlastníkem pozemku u rezidence Velvyslanectví korejské republiky a vlastníkem cesty ke kapli sv. Václava, právní zastoupení MČ týkající se majetku MČ a staveb ve správě MČ a zastupování MČ při uplatňování práv. Nákup sáčků na psí exkrementy, projekty dopravních opatření a studie nových služeb v Troji. Kapitálové výdaje na projektovou dokumentaci domku převozníka</w:t>
      </w:r>
      <w:r w:rsidR="00B3767C">
        <w:t xml:space="preserve"> a dalších projektů (Rybáře, sportoviště nad valem, dopravní opatření apod.)</w:t>
      </w:r>
      <w:r>
        <w:t xml:space="preserve">. Výdaje týkající se rezidence Velvyslanectví Korejské </w:t>
      </w:r>
      <w:proofErr w:type="gramStart"/>
      <w:r>
        <w:t>republiky</w:t>
      </w:r>
      <w:r w:rsidR="00644F6A">
        <w:t xml:space="preserve"> </w:t>
      </w:r>
      <w:r>
        <w:t>-</w:t>
      </w:r>
      <w:r w:rsidR="00644F6A">
        <w:t xml:space="preserve"> </w:t>
      </w:r>
      <w:r>
        <w:t>na</w:t>
      </w:r>
      <w:proofErr w:type="gramEnd"/>
      <w:r>
        <w:t xml:space="preserve"> rekonstrukci podlahy, zřízení parkovacího stání a zpracování dokumentace na kompletní rekonstrukci rezidence.  </w:t>
      </w:r>
    </w:p>
    <w:p w14:paraId="73DEAB88" w14:textId="77777777" w:rsidR="00D46D7F" w:rsidRDefault="005A0579">
      <w:pPr>
        <w:ind w:left="-540" w:right="-468"/>
        <w:jc w:val="both"/>
      </w:pPr>
      <w:r>
        <w:rPr>
          <w:b/>
          <w:bCs/>
        </w:rPr>
        <w:t xml:space="preserve">Monitoring ovzduší – </w:t>
      </w:r>
      <w:r>
        <w:t>měření</w:t>
      </w:r>
      <w:r>
        <w:rPr>
          <w:bCs/>
        </w:rPr>
        <w:t xml:space="preserve"> NO</w:t>
      </w:r>
      <w:r>
        <w:rPr>
          <w:vertAlign w:val="subscript"/>
        </w:rPr>
        <w:t>2</w:t>
      </w:r>
      <w:r>
        <w:t xml:space="preserve"> a SO</w:t>
      </w:r>
      <w:r>
        <w:rPr>
          <w:vertAlign w:val="subscript"/>
        </w:rPr>
        <w:t>2</w:t>
      </w:r>
      <w:r>
        <w:t xml:space="preserve"> na Trojské x Pod Lisem a u Trojského zámku.</w:t>
      </w:r>
    </w:p>
    <w:p w14:paraId="40677E36" w14:textId="77777777" w:rsidR="00D46D7F" w:rsidRDefault="005A0579">
      <w:pPr>
        <w:ind w:left="-540" w:right="-468"/>
        <w:jc w:val="both"/>
      </w:pPr>
      <w:r>
        <w:rPr>
          <w:b/>
          <w:bCs/>
        </w:rPr>
        <w:t>Sběr a svoz komunálního odpadu –</w:t>
      </w:r>
      <w:r>
        <w:t xml:space="preserve"> náklady na přistavování velkoobjemových kontejnerů nad rámec zajišťovaný hl. m. Prahou. </w:t>
      </w:r>
    </w:p>
    <w:p w14:paraId="5D61B68E" w14:textId="35868068" w:rsidR="00D46D7F" w:rsidRDefault="005A0579">
      <w:pPr>
        <w:ind w:left="-540" w:right="-468"/>
        <w:jc w:val="both"/>
      </w:pPr>
      <w:r>
        <w:rPr>
          <w:b/>
          <w:bCs/>
        </w:rPr>
        <w:t>Péče o vzhled obcí a veřejnou zeleň –</w:t>
      </w:r>
      <w:r>
        <w:t xml:space="preserve"> zde jsou plánovány náklady na ošetření zeleně, sekání a úklid pozemků svěřených MČ a také pozemků pronajatých od Státního pozemkového úřadu. Jedná se o péči o Obecní zahradu, sad v Podhoří, některé stromy vysazené jako náhrada za Blanku apod. Zajištění péče o proluky v Trojské a Nad </w:t>
      </w:r>
      <w:proofErr w:type="spellStart"/>
      <w:r>
        <w:t>Kazankou</w:t>
      </w:r>
      <w:proofErr w:type="spellEnd"/>
      <w:r>
        <w:t xml:space="preserve">, pozemek parc.č. 290, Na </w:t>
      </w:r>
      <w:proofErr w:type="spellStart"/>
      <w:r>
        <w:t>Pazderce</w:t>
      </w:r>
      <w:proofErr w:type="spellEnd"/>
      <w:r>
        <w:t>, podél vodácké základny a v Podhoří je hrazeno formou dotace. Nově MČ převzala péči o parkovou úpravu pozemku č.60.</w:t>
      </w:r>
      <w:r w:rsidR="00AA6EE3">
        <w:t xml:space="preserve"> Jsou prostředky i na výsadbu nových stromů.</w:t>
      </w:r>
    </w:p>
    <w:p w14:paraId="08A556BB" w14:textId="77777777" w:rsidR="00D46D7F" w:rsidRDefault="005A0579">
      <w:pPr>
        <w:ind w:left="-540" w:right="-468"/>
        <w:jc w:val="both"/>
      </w:pPr>
      <w:r>
        <w:rPr>
          <w:b/>
          <w:bCs/>
        </w:rPr>
        <w:t xml:space="preserve">Domovy pro osoby se </w:t>
      </w:r>
      <w:proofErr w:type="spellStart"/>
      <w:r>
        <w:rPr>
          <w:b/>
          <w:bCs/>
        </w:rPr>
        <w:t>zdr</w:t>
      </w:r>
      <w:proofErr w:type="spellEnd"/>
      <w:r>
        <w:rPr>
          <w:b/>
          <w:bCs/>
        </w:rPr>
        <w:t xml:space="preserve">, </w:t>
      </w:r>
      <w:proofErr w:type="gramStart"/>
      <w:r>
        <w:rPr>
          <w:b/>
          <w:bCs/>
        </w:rPr>
        <w:t>post.–</w:t>
      </w:r>
      <w:proofErr w:type="gramEnd"/>
      <w:r>
        <w:rPr>
          <w:b/>
          <w:bCs/>
        </w:rPr>
        <w:t xml:space="preserve"> </w:t>
      </w:r>
      <w:r>
        <w:t xml:space="preserve">donášková služba v DSS  </w:t>
      </w:r>
    </w:p>
    <w:p w14:paraId="49FD020D" w14:textId="77777777" w:rsidR="00D46D7F" w:rsidRDefault="005A0579">
      <w:pPr>
        <w:ind w:left="-540" w:right="-468"/>
        <w:jc w:val="both"/>
      </w:pPr>
      <w:r>
        <w:rPr>
          <w:b/>
          <w:bCs/>
        </w:rPr>
        <w:t xml:space="preserve">Ostatní služby a činnost v oblasti </w:t>
      </w:r>
      <w:proofErr w:type="spellStart"/>
      <w:r>
        <w:rPr>
          <w:b/>
          <w:bCs/>
        </w:rPr>
        <w:t>sociál.</w:t>
      </w:r>
      <w:r>
        <w:t>n</w:t>
      </w:r>
      <w:proofErr w:type="spellEnd"/>
      <w:r>
        <w:t xml:space="preserve">. – přenášky pro </w:t>
      </w:r>
      <w:proofErr w:type="spellStart"/>
      <w:r>
        <w:t>senoiry</w:t>
      </w:r>
      <w:proofErr w:type="spellEnd"/>
    </w:p>
    <w:p w14:paraId="0A447675" w14:textId="77777777" w:rsidR="00D46D7F" w:rsidRDefault="005A0579">
      <w:pPr>
        <w:ind w:left="-540" w:right="-468"/>
        <w:jc w:val="both"/>
        <w:rPr>
          <w:bCs/>
        </w:rPr>
      </w:pPr>
      <w:r>
        <w:rPr>
          <w:b/>
          <w:bCs/>
        </w:rPr>
        <w:t xml:space="preserve">Rezerva na krizová opatření – </w:t>
      </w:r>
      <w:r>
        <w:rPr>
          <w:bCs/>
        </w:rPr>
        <w:t>účelová rezerva dle krizového zákona</w:t>
      </w:r>
    </w:p>
    <w:p w14:paraId="7F810FC9" w14:textId="77777777" w:rsidR="00D46D7F" w:rsidRDefault="005A0579">
      <w:pPr>
        <w:ind w:left="-540" w:right="-468"/>
        <w:jc w:val="both"/>
        <w:rPr>
          <w:bCs/>
        </w:rPr>
      </w:pPr>
      <w:r>
        <w:rPr>
          <w:b/>
          <w:bCs/>
        </w:rPr>
        <w:t>Bezpečnost a veřejný pořádek –</w:t>
      </w:r>
      <w:r>
        <w:rPr>
          <w:bCs/>
        </w:rPr>
        <w:t xml:space="preserve"> energie pro služební místnost Městské policie </w:t>
      </w:r>
      <w:proofErr w:type="spellStart"/>
      <w:r>
        <w:rPr>
          <w:bCs/>
        </w:rPr>
        <w:t>hl.m.Prahy</w:t>
      </w:r>
      <w:proofErr w:type="spellEnd"/>
    </w:p>
    <w:p w14:paraId="15479572" w14:textId="77777777" w:rsidR="00D46D7F" w:rsidRDefault="005A0579">
      <w:pPr>
        <w:ind w:left="-540" w:right="-468"/>
        <w:jc w:val="both"/>
      </w:pPr>
      <w:r>
        <w:rPr>
          <w:b/>
          <w:bCs/>
        </w:rPr>
        <w:t>Zastupitelstva obcí –</w:t>
      </w:r>
      <w:r>
        <w:t xml:space="preserve"> odměny členů zastupitelstva stanoveny podle nařízení vlády č. 318/2017 Sb., a s tím spojené i sociální a zdravotní pojištění. Čerpání v ostatních položkách se týká nákladů na provoz kanceláře zastupitelstva (telefonní poplatky, poplatky na školení a konference, materiál (kancelářské potřeby). V položce ostatní neinvestiční </w:t>
      </w:r>
      <w:proofErr w:type="spellStart"/>
      <w:r>
        <w:t>transf</w:t>
      </w:r>
      <w:proofErr w:type="spellEnd"/>
      <w:r>
        <w:t xml:space="preserve">. obyvatelstvu jsou náklady, které se hradí z fondu zaměstnavatele (příspěvek na stravování a dovolenou). Dále jsou rozpočtovány prostředky na pojištění odpovědnosti z činnosti zastupitelstva městské části. </w:t>
      </w:r>
    </w:p>
    <w:p w14:paraId="763D00F7" w14:textId="705FA8D7" w:rsidR="00D46D7F" w:rsidRDefault="005A0579">
      <w:pPr>
        <w:ind w:left="-540" w:right="-468"/>
        <w:jc w:val="both"/>
      </w:pPr>
      <w:r>
        <w:rPr>
          <w:b/>
          <w:bCs/>
        </w:rPr>
        <w:t>Činnost místní správy –</w:t>
      </w:r>
      <w:r>
        <w:t xml:space="preserve"> Běžné výdaje </w:t>
      </w:r>
      <w:proofErr w:type="gramStart"/>
      <w:r>
        <w:t>-  platy</w:t>
      </w:r>
      <w:proofErr w:type="gramEnd"/>
      <w:r>
        <w:t xml:space="preserve"> zaměstnanců stanoveny dle novely nařízení vlády z listopadu 2019. Pro rok 202</w:t>
      </w:r>
      <w:r w:rsidR="00C51895">
        <w:t>2</w:t>
      </w:r>
      <w:r>
        <w:t xml:space="preserve"> nedošlo k nárůstu platů. Pro schválený počet zaměstnanců (9,</w:t>
      </w:r>
      <w:r w:rsidR="00C51895">
        <w:t>45</w:t>
      </w:r>
      <w:r>
        <w:t xml:space="preserve"> pracovních úvazků včetně pracovníků na veřejně prospěšné práce)</w:t>
      </w:r>
      <w:r w:rsidR="00C51895">
        <w:t>.</w:t>
      </w:r>
      <w:r>
        <w:t xml:space="preserve"> Z této částky potom vychází i sociální a zdravotní </w:t>
      </w:r>
      <w:proofErr w:type="gramStart"/>
      <w:r>
        <w:t xml:space="preserve">pojištění </w:t>
      </w:r>
      <w:r w:rsidR="00C51895">
        <w:t>.</w:t>
      </w:r>
      <w:proofErr w:type="gramEnd"/>
      <w:r>
        <w:t xml:space="preserve"> Ostatní osobní výdaje zahrnují jednorázové dohody o provedení práce např. zastupování dlouhodobě nemocného zaměstnance nebo zajištění nárazové povinnosti. </w:t>
      </w:r>
    </w:p>
    <w:p w14:paraId="1D5AF9AC" w14:textId="77777777" w:rsidR="00D46D7F" w:rsidRDefault="005A0579">
      <w:pPr>
        <w:pStyle w:val="Textvbloku"/>
      </w:pPr>
      <w:r>
        <w:t xml:space="preserve">Další položkou jsou výdaje na nezbytné dovybavení úřadu včetně modernizace výpočetní a reprografické techniky a nákup techniky, které vyhovuje Nařízení EU o ochraně osobních údajů (GDPR). </w:t>
      </w:r>
    </w:p>
    <w:p w14:paraId="4628EB5D" w14:textId="61411C4E" w:rsidR="00D46D7F" w:rsidRDefault="005A0579">
      <w:pPr>
        <w:ind w:left="-540" w:right="-468"/>
        <w:jc w:val="both"/>
      </w:pPr>
      <w:r>
        <w:t>Většina ostatních položek je na úrovni r. 202</w:t>
      </w:r>
      <w:r w:rsidR="00C51895">
        <w:t>1</w:t>
      </w:r>
      <w:r>
        <w:t>. Případné navýšení je na vrub vyšších cen služeb nebo dalších nároků na vykonávání nové agendy dle zákonů.</w:t>
      </w:r>
    </w:p>
    <w:p w14:paraId="2ADA2B40" w14:textId="77777777" w:rsidR="00D46D7F" w:rsidRDefault="005A0579">
      <w:pPr>
        <w:ind w:left="-540" w:right="-468"/>
        <w:jc w:val="both"/>
      </w:pPr>
      <w:r>
        <w:rPr>
          <w:i/>
          <w:iCs/>
        </w:rPr>
        <w:t xml:space="preserve">konzultační a právní služby – </w:t>
      </w:r>
      <w:r>
        <w:t xml:space="preserve">právní služby především pro zajištění přestupkové agendy. </w:t>
      </w:r>
    </w:p>
    <w:p w14:paraId="0EB9EF46" w14:textId="77777777" w:rsidR="00D46D7F" w:rsidRDefault="005A0579">
      <w:pPr>
        <w:ind w:left="-540" w:right="-468"/>
        <w:jc w:val="both"/>
      </w:pPr>
      <w:r>
        <w:rPr>
          <w:i/>
          <w:iCs/>
        </w:rPr>
        <w:t>zpracování dat a služby související s </w:t>
      </w:r>
      <w:proofErr w:type="spellStart"/>
      <w:r>
        <w:rPr>
          <w:i/>
          <w:iCs/>
        </w:rPr>
        <w:t>inf</w:t>
      </w:r>
      <w:proofErr w:type="spellEnd"/>
      <w:r>
        <w:rPr>
          <w:i/>
          <w:iCs/>
        </w:rPr>
        <w:t xml:space="preserve">. technologiemi a nákup ostatních služeb – </w:t>
      </w:r>
      <w:r>
        <w:t xml:space="preserve">týká se hlavně poplatků za užívání všech programů na úřadě MČ, certifikáty, dále náklady na revize, likvidaci odpadu, inzerci, náklady na zajištění mzdové účetní, dále činnosti IT na zajištění provozu výpočetní techniky, servisní práce při opravách počítačů a EZS, webhosting, náklady na provoz služebního automobilu. V této položce se účtují i náklady, které se hradí z fondu zaměstnavatele na stravné. </w:t>
      </w:r>
    </w:p>
    <w:p w14:paraId="0E1D0CAD" w14:textId="77777777" w:rsidR="00D46D7F" w:rsidRDefault="005A0579">
      <w:pPr>
        <w:ind w:left="-540" w:right="-468"/>
        <w:jc w:val="both"/>
      </w:pPr>
      <w:r>
        <w:rPr>
          <w:i/>
          <w:iCs/>
        </w:rPr>
        <w:t xml:space="preserve">ostatní </w:t>
      </w:r>
      <w:proofErr w:type="spellStart"/>
      <w:r>
        <w:rPr>
          <w:i/>
          <w:iCs/>
        </w:rPr>
        <w:t>neiv</w:t>
      </w:r>
      <w:proofErr w:type="spellEnd"/>
      <w:r>
        <w:rPr>
          <w:i/>
          <w:iCs/>
        </w:rPr>
        <w:t>.</w:t>
      </w:r>
      <w:r>
        <w:rPr>
          <w:i/>
        </w:rPr>
        <w:t xml:space="preserve"> trans. obyvatel</w:t>
      </w:r>
      <w:r>
        <w:t xml:space="preserve">. – příspěvky z fondu zaměstnavatele na dopravu, penz. pojištění, dovolenou a dětskou rekreaci. </w:t>
      </w:r>
    </w:p>
    <w:p w14:paraId="0B7BFDD3" w14:textId="76368E3E" w:rsidR="00D46D7F" w:rsidRDefault="005A0579">
      <w:pPr>
        <w:ind w:left="-540" w:right="-468"/>
        <w:jc w:val="both"/>
      </w:pPr>
      <w:r>
        <w:rPr>
          <w:iCs/>
        </w:rPr>
        <w:t xml:space="preserve">Kapitálové výdaje jsou plánovány na </w:t>
      </w:r>
      <w:r w:rsidR="00AD523F">
        <w:rPr>
          <w:iCs/>
        </w:rPr>
        <w:t>obnovení výpočetní techniky a mapy a 3D modelu</w:t>
      </w:r>
      <w:r>
        <w:rPr>
          <w:iCs/>
        </w:rPr>
        <w:t xml:space="preserve"> ÚMČ</w:t>
      </w:r>
      <w:r w:rsidR="00AD523F">
        <w:rPr>
          <w:iCs/>
        </w:rPr>
        <w:t xml:space="preserve">. </w:t>
      </w:r>
      <w:r>
        <w:rPr>
          <w:iCs/>
        </w:rPr>
        <w:t xml:space="preserve"> </w:t>
      </w:r>
    </w:p>
    <w:p w14:paraId="2EC54B3D" w14:textId="77777777" w:rsidR="00D46D7F" w:rsidRDefault="005A0579">
      <w:pPr>
        <w:ind w:left="-540" w:right="-468"/>
        <w:jc w:val="both"/>
      </w:pPr>
      <w:r>
        <w:rPr>
          <w:b/>
          <w:bCs/>
        </w:rPr>
        <w:t xml:space="preserve">Pojištění nespecifikované </w:t>
      </w:r>
      <w:proofErr w:type="gramStart"/>
      <w:r>
        <w:rPr>
          <w:b/>
          <w:bCs/>
        </w:rPr>
        <w:t xml:space="preserve">- </w:t>
      </w:r>
      <w:r>
        <w:rPr>
          <w:b/>
          <w:bCs/>
          <w:i/>
          <w:iCs/>
        </w:rPr>
        <w:t xml:space="preserve"> </w:t>
      </w:r>
      <w:r>
        <w:t>zahrnuje</w:t>
      </w:r>
      <w:proofErr w:type="gramEnd"/>
      <w:r>
        <w:t xml:space="preserve"> povinné odpovědnostní pojištění hrazené zaměstnavatelem za zaměstnance a pojištění objektu úřadu včetně obecní zahrady a parc.č. 60.</w:t>
      </w:r>
    </w:p>
    <w:p w14:paraId="61E436DA" w14:textId="77777777" w:rsidR="00D46D7F" w:rsidRDefault="00D46D7F">
      <w:pPr>
        <w:ind w:left="-540" w:right="-468"/>
        <w:jc w:val="both"/>
        <w:rPr>
          <w:iCs/>
        </w:rPr>
      </w:pPr>
    </w:p>
    <w:p w14:paraId="0B194548" w14:textId="58DB5039" w:rsidR="00D46D7F" w:rsidRDefault="005A0579">
      <w:pPr>
        <w:autoSpaceDE w:val="0"/>
        <w:ind w:left="-567" w:right="-568"/>
        <w:jc w:val="both"/>
      </w:pPr>
      <w:r>
        <w:rPr>
          <w:rFonts w:ascii="TimesNewRomanPS-BoldMT;Times Ne" w:hAnsi="TimesNewRomanPS-BoldMT;Times Ne" w:cs="TimesNewRomanPS-BoldMT;Times Ne"/>
          <w:b/>
          <w:bCs/>
        </w:rPr>
        <w:t xml:space="preserve">Připomínky k Návrhu rozpočtu Městské části </w:t>
      </w:r>
      <w:proofErr w:type="gramStart"/>
      <w:r>
        <w:rPr>
          <w:rFonts w:ascii="TimesNewRomanPS-BoldMT;Times Ne" w:hAnsi="TimesNewRomanPS-BoldMT;Times Ne" w:cs="TimesNewRomanPS-BoldMT;Times Ne"/>
          <w:b/>
          <w:bCs/>
        </w:rPr>
        <w:t>Praha - Troja</w:t>
      </w:r>
      <w:proofErr w:type="gramEnd"/>
      <w:r>
        <w:rPr>
          <w:rFonts w:ascii="TimesNewRomanPS-BoldMT;Times Ne" w:hAnsi="TimesNewRomanPS-BoldMT;Times Ne" w:cs="TimesNewRomanPS-BoldMT;Times Ne"/>
          <w:b/>
          <w:bCs/>
        </w:rPr>
        <w:t xml:space="preserve"> na rok 20</w:t>
      </w:r>
      <w:r>
        <w:rPr>
          <w:b/>
          <w:bCs/>
        </w:rPr>
        <w:t>21 moh</w:t>
      </w:r>
      <w:r>
        <w:rPr>
          <w:rFonts w:ascii="TimesNewRomanPS-BoldMT;Times Ne" w:hAnsi="TimesNewRomanPS-BoldMT;Times Ne" w:cs="TimesNewRomanPS-BoldMT;Times Ne"/>
          <w:b/>
          <w:bCs/>
        </w:rPr>
        <w:t xml:space="preserve">ou občané uplatnit písemně do </w:t>
      </w:r>
      <w:r w:rsidR="00AD523F">
        <w:rPr>
          <w:rFonts w:ascii="TimesNewRomanPS-BoldMT;Times Ne" w:hAnsi="TimesNewRomanPS-BoldMT;Times Ne" w:cs="TimesNewRomanPS-BoldMT;Times Ne"/>
          <w:b/>
          <w:bCs/>
        </w:rPr>
        <w:t>7</w:t>
      </w:r>
      <w:r>
        <w:rPr>
          <w:rFonts w:ascii="TimesNewRomanPS-BoldMT;Times Ne" w:hAnsi="TimesNewRomanPS-BoldMT;Times Ne" w:cs="TimesNewRomanPS-BoldMT;Times Ne"/>
          <w:b/>
          <w:bCs/>
        </w:rPr>
        <w:t xml:space="preserve">. 3. </w:t>
      </w:r>
      <w:r>
        <w:rPr>
          <w:b/>
          <w:bCs/>
        </w:rPr>
        <w:t>202</w:t>
      </w:r>
      <w:r w:rsidR="00AD523F">
        <w:rPr>
          <w:b/>
          <w:bCs/>
        </w:rPr>
        <w:t>2</w:t>
      </w:r>
      <w:r>
        <w:rPr>
          <w:b/>
          <w:bCs/>
        </w:rPr>
        <w:t xml:space="preserve"> </w:t>
      </w:r>
      <w:r>
        <w:rPr>
          <w:rFonts w:ascii="TimesNewRomanPS-BoldMT;Times Ne" w:hAnsi="TimesNewRomanPS-BoldMT;Times Ne" w:cs="TimesNewRomanPS-BoldMT;Times Ne"/>
          <w:b/>
          <w:bCs/>
        </w:rPr>
        <w:t xml:space="preserve">a to prostřednictvím podatelny Úřadu městské části </w:t>
      </w:r>
      <w:r>
        <w:rPr>
          <w:b/>
          <w:bCs/>
        </w:rPr>
        <w:t xml:space="preserve">Praha – Troja, Trojská 230/96, 171 00 Praha-Troja </w:t>
      </w:r>
      <w:r>
        <w:rPr>
          <w:rFonts w:ascii="TimesNewRomanPS-BoldMT;Times Ne" w:hAnsi="TimesNewRomanPS-BoldMT;Times Ne" w:cs="TimesNewRomanPS-BoldMT;Times Ne"/>
          <w:b/>
          <w:bCs/>
        </w:rPr>
        <w:t xml:space="preserve">nebo ústně na zasedání Zastupitelstva městské části Praha - Troja dne </w:t>
      </w:r>
      <w:r w:rsidR="00AD523F">
        <w:rPr>
          <w:rFonts w:ascii="TimesNewRomanPS-BoldMT;Times Ne" w:hAnsi="TimesNewRomanPS-BoldMT;Times Ne" w:cs="TimesNewRomanPS-BoldMT;Times Ne"/>
          <w:b/>
          <w:bCs/>
        </w:rPr>
        <w:t>8</w:t>
      </w:r>
      <w:r>
        <w:rPr>
          <w:rFonts w:ascii="TimesNewRomanPS-BoldMT;Times Ne" w:hAnsi="TimesNewRomanPS-BoldMT;Times Ne" w:cs="TimesNewRomanPS-BoldMT;Times Ne"/>
          <w:b/>
          <w:bCs/>
        </w:rPr>
        <w:t>. 3. 202</w:t>
      </w:r>
      <w:r w:rsidR="00AD523F">
        <w:rPr>
          <w:rFonts w:ascii="TimesNewRomanPS-BoldMT;Times Ne" w:hAnsi="TimesNewRomanPS-BoldMT;Times Ne" w:cs="TimesNewRomanPS-BoldMT;Times Ne"/>
          <w:b/>
          <w:bCs/>
        </w:rPr>
        <w:t>2</w:t>
      </w:r>
      <w:r>
        <w:rPr>
          <w:b/>
          <w:bCs/>
        </w:rPr>
        <w:t>.</w:t>
      </w:r>
    </w:p>
    <w:p w14:paraId="638386D6" w14:textId="77777777" w:rsidR="00D46D7F" w:rsidRDefault="00D46D7F">
      <w:pPr>
        <w:ind w:left="-540" w:right="-468"/>
        <w:jc w:val="both"/>
        <w:rPr>
          <w:rFonts w:ascii="TimesNewRomanPS-BoldMT;Times Ne" w:hAnsi="TimesNewRomanPS-BoldMT;Times Ne" w:cs="TimesNewRomanPS-BoldMT;Times Ne"/>
          <w:b/>
          <w:bCs/>
          <w:iCs/>
        </w:rPr>
      </w:pPr>
    </w:p>
    <w:sectPr w:rsidR="00D46D7F">
      <w:pgSz w:w="11906" w:h="16838"/>
      <w:pgMar w:top="907" w:right="1134" w:bottom="90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imesNewRomanPS-BoldMT;Times N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E4603"/>
    <w:multiLevelType w:val="multilevel"/>
    <w:tmpl w:val="3DF42D10"/>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7F"/>
    <w:rsid w:val="005A0579"/>
    <w:rsid w:val="00644F6A"/>
    <w:rsid w:val="00AA6EE3"/>
    <w:rsid w:val="00AD523F"/>
    <w:rsid w:val="00B3767C"/>
    <w:rsid w:val="00BB2F2C"/>
    <w:rsid w:val="00C51895"/>
    <w:rsid w:val="00D46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7094"/>
  <w15:docId w15:val="{667DDAAC-5AC6-4AB8-B0D3-881A3F6F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bidi="ar-SA"/>
    </w:rPr>
  </w:style>
  <w:style w:type="paragraph" w:styleId="Nadpis1">
    <w:name w:val="heading 1"/>
    <w:basedOn w:val="Normln"/>
    <w:next w:val="Normln"/>
    <w:uiPriority w:val="9"/>
    <w:qFormat/>
    <w:pPr>
      <w:keepNext/>
      <w:numPr>
        <w:numId w:val="1"/>
      </w:numPr>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Textvbloku">
    <w:name w:val="Block Text"/>
    <w:basedOn w:val="Normln"/>
    <w:qFormat/>
    <w:pPr>
      <w:ind w:left="-540" w:right="-46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1159</Words>
  <Characters>6840</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Komentář k návrhu rozpočtu městské části Praha-Troja na rok 2006-01-30</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 k návrhu rozpočtu městské části Praha-Troja na rok 2006-01-30</dc:title>
  <dc:subject/>
  <dc:creator>Marková</dc:creator>
  <cp:keywords> </cp:keywords>
  <dc:description/>
  <cp:lastModifiedBy>Irena Marková</cp:lastModifiedBy>
  <cp:revision>2</cp:revision>
  <cp:lastPrinted>2018-03-02T15:24:00Z</cp:lastPrinted>
  <dcterms:created xsi:type="dcterms:W3CDTF">2022-02-17T15:08:00Z</dcterms:created>
  <dcterms:modified xsi:type="dcterms:W3CDTF">2022-02-17T15:08:00Z</dcterms:modified>
  <dc:language>cs-CZ</dc:language>
</cp:coreProperties>
</file>