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EF921" w14:textId="77777777" w:rsidR="00962FC7" w:rsidRPr="00C1278C" w:rsidRDefault="00962FC7" w:rsidP="00962FC7">
      <w:pPr>
        <w:pStyle w:val="Prosttext1"/>
        <w:rPr>
          <w:rFonts w:ascii="Cambria" w:eastAsia="MS Mincho" w:hAnsi="Cambria" w:cs="Times New Roman"/>
        </w:rPr>
      </w:pPr>
      <w:r w:rsidRPr="00C1278C">
        <w:rPr>
          <w:rFonts w:ascii="Cambria" w:eastAsia="MS Mincho" w:hAnsi="Cambria" w:cs="Times New Roman"/>
          <w:b/>
        </w:rPr>
        <w:t>Městské části</w:t>
      </w:r>
      <w:r w:rsidRPr="00C1278C">
        <w:rPr>
          <w:rFonts w:ascii="Cambria" w:eastAsia="MS Mincho" w:hAnsi="Cambria" w:cs="Times New Roman"/>
        </w:rPr>
        <w:t xml:space="preserve">                                                   </w:t>
      </w:r>
      <w:r w:rsidRPr="00C1278C">
        <w:rPr>
          <w:rFonts w:ascii="Cambria" w:eastAsia="MS Mincho" w:hAnsi="Cambria" w:cs="Times New Roman"/>
        </w:rPr>
        <w:tab/>
      </w:r>
      <w:r w:rsidRPr="00C1278C">
        <w:rPr>
          <w:rFonts w:ascii="Cambria" w:eastAsia="MS Mincho" w:hAnsi="Cambria" w:cs="Times New Roman"/>
        </w:rPr>
        <w:tab/>
      </w:r>
      <w:r w:rsidRPr="00C1278C">
        <w:rPr>
          <w:rFonts w:ascii="Cambria" w:eastAsia="MS Mincho" w:hAnsi="Cambria" w:cs="Times New Roman"/>
        </w:rPr>
        <w:tab/>
      </w:r>
      <w:r w:rsidRPr="00C1278C">
        <w:rPr>
          <w:rFonts w:ascii="Cambria" w:eastAsia="MS Mincho" w:hAnsi="Cambria" w:cs="Times New Roman"/>
        </w:rPr>
        <w:tab/>
      </w:r>
      <w:r w:rsidRPr="00C1278C">
        <w:rPr>
          <w:rFonts w:ascii="Cambria" w:eastAsia="MS Mincho" w:hAnsi="Cambria" w:cs="Times New Roman"/>
        </w:rPr>
        <w:tab/>
      </w:r>
      <w:r w:rsidRPr="00C1278C">
        <w:rPr>
          <w:rFonts w:ascii="Cambria" w:eastAsia="MS Mincho" w:hAnsi="Cambria" w:cs="Times New Roman"/>
        </w:rPr>
        <w:tab/>
        <w:t xml:space="preserve">       Tabulka A                                                                                                       </w:t>
      </w:r>
    </w:p>
    <w:p w14:paraId="02F83046" w14:textId="77777777" w:rsidR="00962FC7" w:rsidRPr="00C1278C" w:rsidRDefault="00962FC7" w:rsidP="00962FC7">
      <w:pPr>
        <w:pStyle w:val="Prosttext1"/>
        <w:rPr>
          <w:rFonts w:ascii="Cambria" w:eastAsia="MS Mincho" w:hAnsi="Cambria" w:cs="Times New Roman"/>
        </w:rPr>
      </w:pPr>
    </w:p>
    <w:p w14:paraId="06609346" w14:textId="77777777" w:rsidR="00962FC7" w:rsidRPr="00C1278C" w:rsidRDefault="00962FC7" w:rsidP="00962FC7">
      <w:pPr>
        <w:jc w:val="center"/>
        <w:rPr>
          <w:rFonts w:ascii="Cambria" w:eastAsia="MS Mincho" w:hAnsi="Cambria"/>
        </w:rPr>
      </w:pPr>
      <w:r w:rsidRPr="00C1278C">
        <w:rPr>
          <w:rFonts w:ascii="Cambria" w:eastAsia="MS Mincho" w:hAnsi="Cambria"/>
          <w:b/>
          <w:bCs/>
          <w:sz w:val="28"/>
        </w:rPr>
        <w:t xml:space="preserve">Inventarizační zpráva </w:t>
      </w:r>
    </w:p>
    <w:p w14:paraId="41FE8D7E" w14:textId="77777777" w:rsidR="00962FC7" w:rsidRPr="00C1278C" w:rsidRDefault="00962FC7" w:rsidP="00962FC7">
      <w:pPr>
        <w:pStyle w:val="Prosttext1"/>
        <w:rPr>
          <w:rFonts w:ascii="Cambria" w:eastAsia="MS Mincho" w:hAnsi="Cambria" w:cs="Times New Roman"/>
        </w:rPr>
      </w:pPr>
    </w:p>
    <w:p w14:paraId="5D86F9EC" w14:textId="2A8BCBBF" w:rsidR="00962FC7" w:rsidRDefault="00962FC7" w:rsidP="00962FC7">
      <w:pPr>
        <w:jc w:val="center"/>
        <w:rPr>
          <w:rFonts w:ascii="Cambria" w:hAnsi="Cambria"/>
          <w:bCs/>
          <w:i/>
          <w:iCs/>
        </w:rPr>
      </w:pPr>
      <w:r w:rsidRPr="00C1278C">
        <w:rPr>
          <w:rFonts w:ascii="Cambria" w:hAnsi="Cambria"/>
          <w:bCs/>
          <w:i/>
          <w:iCs/>
        </w:rPr>
        <w:t xml:space="preserve"> (počet stran</w:t>
      </w:r>
      <w:r w:rsidR="00223E73">
        <w:rPr>
          <w:rFonts w:ascii="Cambria" w:hAnsi="Cambria"/>
          <w:bCs/>
          <w:i/>
          <w:iCs/>
        </w:rPr>
        <w:t xml:space="preserve"> </w:t>
      </w:r>
      <w:r w:rsidR="00217606">
        <w:rPr>
          <w:rFonts w:ascii="Cambria" w:hAnsi="Cambria"/>
          <w:bCs/>
          <w:i/>
          <w:iCs/>
        </w:rPr>
        <w:t>4</w:t>
      </w:r>
      <w:r w:rsidR="005C0431">
        <w:rPr>
          <w:rFonts w:ascii="Cambria" w:hAnsi="Cambria"/>
          <w:bCs/>
          <w:i/>
          <w:iCs/>
        </w:rPr>
        <w:t>)</w:t>
      </w:r>
    </w:p>
    <w:p w14:paraId="1E2EB784" w14:textId="77777777" w:rsidR="00E86679" w:rsidRPr="00C1278C" w:rsidRDefault="00E86679" w:rsidP="00962FC7">
      <w:pPr>
        <w:jc w:val="center"/>
        <w:rPr>
          <w:rFonts w:ascii="Cambria" w:hAnsi="Cambria"/>
          <w:b/>
          <w:bCs/>
        </w:rPr>
      </w:pPr>
    </w:p>
    <w:p w14:paraId="01430232" w14:textId="77777777" w:rsidR="00962FC7" w:rsidRPr="00C1278C" w:rsidRDefault="00962FC7" w:rsidP="00962FC7">
      <w:pPr>
        <w:rPr>
          <w:rFonts w:ascii="Cambria" w:hAnsi="Cambria"/>
          <w:b/>
          <w:bCs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005"/>
        <w:gridCol w:w="5332"/>
      </w:tblGrid>
      <w:tr w:rsidR="00962FC7" w:rsidRPr="00C1278C" w14:paraId="088F621A" w14:textId="77777777" w:rsidTr="00962FC7">
        <w:tc>
          <w:tcPr>
            <w:tcW w:w="40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2B7F755" w14:textId="77777777" w:rsidR="00643C1A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Název účetní jednotky:</w:t>
            </w:r>
            <w:r w:rsidR="00643C1A">
              <w:rPr>
                <w:rFonts w:ascii="Cambria" w:hAnsi="Cambria"/>
                <w:b/>
              </w:rPr>
              <w:t xml:space="preserve"> </w:t>
            </w:r>
          </w:p>
          <w:p w14:paraId="77793714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</w:p>
          <w:p w14:paraId="0042FA9F" w14:textId="77777777" w:rsidR="00643C1A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Sídlo:</w:t>
            </w:r>
            <w:r w:rsidR="00643C1A">
              <w:rPr>
                <w:rFonts w:ascii="Cambria" w:hAnsi="Cambria"/>
                <w:b/>
              </w:rPr>
              <w:t xml:space="preserve"> </w:t>
            </w:r>
          </w:p>
          <w:p w14:paraId="116D80C0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</w:p>
          <w:p w14:paraId="30F0F8A1" w14:textId="4764273A" w:rsidR="00962FC7" w:rsidRPr="00C1278C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IČ:</w:t>
            </w:r>
            <w:r w:rsidR="00643C1A">
              <w:rPr>
                <w:rFonts w:ascii="Cambria" w:hAnsi="Cambria"/>
                <w:b/>
              </w:rPr>
              <w:t xml:space="preserve"> </w:t>
            </w:r>
          </w:p>
          <w:p w14:paraId="4D1ABE4A" w14:textId="6841A7D2" w:rsidR="00962FC7" w:rsidRPr="00C1278C" w:rsidRDefault="00962FC7" w:rsidP="001B171A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 xml:space="preserve">Kód </w:t>
            </w:r>
            <w:proofErr w:type="spellStart"/>
            <w:proofErr w:type="gramStart"/>
            <w:r w:rsidRPr="00C1278C">
              <w:rPr>
                <w:rFonts w:ascii="Cambria" w:hAnsi="Cambria"/>
                <w:b/>
              </w:rPr>
              <w:t>inv.místa</w:t>
            </w:r>
            <w:proofErr w:type="spellEnd"/>
            <w:proofErr w:type="gramEnd"/>
            <w:r w:rsidRPr="00C1278C">
              <w:rPr>
                <w:rFonts w:ascii="Cambria" w:hAnsi="Cambria"/>
                <w:b/>
              </w:rPr>
              <w:t>:</w:t>
            </w:r>
            <w:r w:rsidR="00643C1A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33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21601C80" w14:textId="422BD501" w:rsidR="00962FC7" w:rsidRPr="001B171A" w:rsidRDefault="001B171A" w:rsidP="00962FC7">
            <w:pPr>
              <w:snapToGrid w:val="0"/>
              <w:rPr>
                <w:rFonts w:ascii="Cambria" w:hAnsi="Cambria"/>
                <w:b/>
                <w:bCs/>
              </w:rPr>
            </w:pPr>
            <w:r w:rsidRPr="001B171A">
              <w:rPr>
                <w:rFonts w:ascii="Cambria" w:hAnsi="Cambria"/>
                <w:b/>
                <w:bCs/>
              </w:rPr>
              <w:t>Městská část Praha – Troja</w:t>
            </w:r>
          </w:p>
          <w:p w14:paraId="18B256FB" w14:textId="77777777" w:rsidR="001B171A" w:rsidRPr="001B171A" w:rsidRDefault="001B171A" w:rsidP="00962FC7">
            <w:pPr>
              <w:snapToGrid w:val="0"/>
              <w:rPr>
                <w:rFonts w:ascii="Cambria" w:hAnsi="Cambria"/>
                <w:b/>
                <w:bCs/>
              </w:rPr>
            </w:pPr>
          </w:p>
          <w:p w14:paraId="74C52972" w14:textId="3DEF776D" w:rsidR="001B171A" w:rsidRPr="001B171A" w:rsidRDefault="001B171A" w:rsidP="00962FC7">
            <w:pPr>
              <w:snapToGrid w:val="0"/>
              <w:rPr>
                <w:rFonts w:ascii="Cambria" w:hAnsi="Cambria"/>
                <w:b/>
                <w:bCs/>
              </w:rPr>
            </w:pPr>
            <w:r w:rsidRPr="001B171A">
              <w:rPr>
                <w:rFonts w:ascii="Cambria" w:hAnsi="Cambria"/>
                <w:b/>
                <w:bCs/>
              </w:rPr>
              <w:t>Trojská 230/96, Praha 7 – Troja</w:t>
            </w:r>
          </w:p>
          <w:p w14:paraId="7E603E8E" w14:textId="77777777" w:rsidR="001B171A" w:rsidRPr="001B171A" w:rsidRDefault="001B171A" w:rsidP="00962FC7">
            <w:pPr>
              <w:snapToGrid w:val="0"/>
              <w:rPr>
                <w:rFonts w:ascii="Cambria" w:hAnsi="Cambria"/>
                <w:b/>
                <w:bCs/>
              </w:rPr>
            </w:pPr>
          </w:p>
          <w:p w14:paraId="616BDF25" w14:textId="77777777" w:rsidR="001B171A" w:rsidRPr="001B171A" w:rsidRDefault="001B171A" w:rsidP="00962FC7">
            <w:pPr>
              <w:snapToGrid w:val="0"/>
              <w:rPr>
                <w:rFonts w:ascii="Cambria" w:hAnsi="Cambria"/>
                <w:b/>
                <w:bCs/>
              </w:rPr>
            </w:pPr>
            <w:r w:rsidRPr="001B171A">
              <w:rPr>
                <w:rFonts w:ascii="Cambria" w:hAnsi="Cambria"/>
                <w:b/>
                <w:bCs/>
              </w:rPr>
              <w:t>45246858</w:t>
            </w:r>
          </w:p>
          <w:p w14:paraId="7EDAA25E" w14:textId="77777777" w:rsidR="001B171A" w:rsidRDefault="001B171A" w:rsidP="00962FC7">
            <w:pPr>
              <w:snapToGrid w:val="0"/>
              <w:rPr>
                <w:rFonts w:ascii="Cambria" w:hAnsi="Cambria"/>
                <w:b/>
                <w:bCs/>
              </w:rPr>
            </w:pPr>
            <w:r w:rsidRPr="001B171A">
              <w:rPr>
                <w:rFonts w:ascii="Cambria" w:hAnsi="Cambria"/>
                <w:b/>
                <w:bCs/>
              </w:rPr>
              <w:t>200215</w:t>
            </w:r>
          </w:p>
          <w:p w14:paraId="1602E81D" w14:textId="6D433C10" w:rsidR="001B171A" w:rsidRPr="00C1278C" w:rsidRDefault="001B171A" w:rsidP="00962FC7">
            <w:pPr>
              <w:snapToGrid w:val="0"/>
              <w:rPr>
                <w:rFonts w:ascii="Cambria" w:hAnsi="Cambria"/>
              </w:rPr>
            </w:pPr>
          </w:p>
        </w:tc>
      </w:tr>
      <w:tr w:rsidR="00962FC7" w:rsidRPr="00C1278C" w14:paraId="49201DDA" w14:textId="77777777" w:rsidTr="00962FC7">
        <w:tc>
          <w:tcPr>
            <w:tcW w:w="4005" w:type="dxa"/>
            <w:tcBorders>
              <w:left w:val="single" w:sz="8" w:space="0" w:color="000000"/>
            </w:tcBorders>
            <w:shd w:val="clear" w:color="auto" w:fill="auto"/>
          </w:tcPr>
          <w:p w14:paraId="7FB33072" w14:textId="01ABF511" w:rsidR="00962FC7" w:rsidRPr="00C1278C" w:rsidRDefault="00962FC7" w:rsidP="00407B93">
            <w:pPr>
              <w:rPr>
                <w:rFonts w:ascii="Cambria" w:hAnsi="Cambria"/>
              </w:rPr>
            </w:pPr>
            <w:r w:rsidRPr="00C1278C">
              <w:rPr>
                <w:rFonts w:ascii="Cambria" w:hAnsi="Cambria"/>
                <w:b/>
              </w:rPr>
              <w:t>Datum vyhotovení:</w:t>
            </w:r>
            <w:r w:rsidR="00643C1A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332" w:type="dxa"/>
            <w:tcBorders>
              <w:right w:val="single" w:sz="8" w:space="0" w:color="000000"/>
            </w:tcBorders>
            <w:shd w:val="clear" w:color="auto" w:fill="auto"/>
          </w:tcPr>
          <w:p w14:paraId="18567DAD" w14:textId="309A3EAF" w:rsidR="00962FC7" w:rsidRPr="001B171A" w:rsidRDefault="001B171A" w:rsidP="00962FC7">
            <w:pPr>
              <w:snapToGrid w:val="0"/>
              <w:rPr>
                <w:rFonts w:ascii="Cambria" w:hAnsi="Cambria"/>
                <w:b/>
                <w:bCs/>
              </w:rPr>
            </w:pPr>
            <w:r w:rsidRPr="001B171A">
              <w:rPr>
                <w:rFonts w:ascii="Cambria" w:hAnsi="Cambria"/>
                <w:b/>
                <w:bCs/>
              </w:rPr>
              <w:t>08.02.2024</w:t>
            </w:r>
          </w:p>
        </w:tc>
      </w:tr>
      <w:tr w:rsidR="00962FC7" w:rsidRPr="00C1278C" w14:paraId="662D19DA" w14:textId="77777777" w:rsidTr="00962FC7">
        <w:trPr>
          <w:trHeight w:val="80"/>
        </w:trPr>
        <w:tc>
          <w:tcPr>
            <w:tcW w:w="4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262363" w14:textId="77777777" w:rsidR="00962FC7" w:rsidRPr="00C1278C" w:rsidRDefault="00962FC7" w:rsidP="00962FC7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53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287C16" w14:textId="77777777" w:rsidR="00962FC7" w:rsidRPr="00C1278C" w:rsidRDefault="00962FC7" w:rsidP="00962FC7">
            <w:pPr>
              <w:snapToGrid w:val="0"/>
              <w:rPr>
                <w:rFonts w:ascii="Cambria" w:hAnsi="Cambria"/>
              </w:rPr>
            </w:pPr>
          </w:p>
        </w:tc>
      </w:tr>
    </w:tbl>
    <w:p w14:paraId="6B45B36F" w14:textId="77777777" w:rsidR="00962FC7" w:rsidRPr="00C1278C" w:rsidRDefault="00962FC7" w:rsidP="00962FC7">
      <w:pPr>
        <w:rPr>
          <w:rFonts w:ascii="Cambria" w:hAnsi="Cambri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87"/>
        <w:gridCol w:w="731"/>
        <w:gridCol w:w="756"/>
        <w:gridCol w:w="4763"/>
      </w:tblGrid>
      <w:tr w:rsidR="00962FC7" w:rsidRPr="00C1278C" w14:paraId="4CCA7706" w14:textId="77777777" w:rsidTr="00962FC7"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01A81A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Druh provedené inventarizace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9AD42D" w14:textId="77777777" w:rsidR="00962FC7" w:rsidRPr="00C1278C" w:rsidRDefault="00962FC7" w:rsidP="00962FC7">
            <w:pPr>
              <w:snapToGrid w:val="0"/>
              <w:rPr>
                <w:rFonts w:ascii="Cambria" w:hAnsi="Cambria"/>
              </w:rPr>
            </w:pPr>
            <w:r w:rsidRPr="00C1278C">
              <w:rPr>
                <w:rFonts w:ascii="Cambria" w:hAnsi="Cambria"/>
                <w:b/>
              </w:rPr>
              <w:t>Periodická</w:t>
            </w:r>
          </w:p>
        </w:tc>
      </w:tr>
      <w:tr w:rsidR="00962FC7" w:rsidRPr="00C1278C" w14:paraId="37DC63F7" w14:textId="77777777" w:rsidTr="00962FC7">
        <w:tc>
          <w:tcPr>
            <w:tcW w:w="4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44EF42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Předmět inventarizace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9B74CC" w14:textId="77777777" w:rsidR="00962FC7" w:rsidRPr="00C1278C" w:rsidRDefault="00962FC7" w:rsidP="00962FC7">
            <w:pPr>
              <w:snapToGrid w:val="0"/>
              <w:rPr>
                <w:rFonts w:ascii="Cambria" w:hAnsi="Cambria"/>
              </w:rPr>
            </w:pPr>
            <w:r w:rsidRPr="00C1278C">
              <w:rPr>
                <w:rFonts w:ascii="Cambria" w:hAnsi="Cambria"/>
                <w:b/>
              </w:rPr>
              <w:t xml:space="preserve">Majetek, </w:t>
            </w:r>
            <w:proofErr w:type="spellStart"/>
            <w:r w:rsidRPr="00C1278C">
              <w:rPr>
                <w:rFonts w:ascii="Cambria" w:hAnsi="Cambria"/>
                <w:b/>
              </w:rPr>
              <w:t>pohledávky,závazky,podrozv.účty</w:t>
            </w:r>
            <w:proofErr w:type="spellEnd"/>
          </w:p>
        </w:tc>
      </w:tr>
      <w:tr w:rsidR="00962FC7" w:rsidRPr="00C1278C" w14:paraId="373EFC53" w14:textId="77777777" w:rsidTr="00962FC7">
        <w:tc>
          <w:tcPr>
            <w:tcW w:w="4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CF3DADE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Datum zahájení inventarizace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202BD9" w14:textId="493325F0" w:rsidR="00962FC7" w:rsidRPr="00C1278C" w:rsidRDefault="00493BBB" w:rsidP="00407B93">
            <w:pPr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</w:t>
            </w:r>
            <w:r w:rsidR="00AC15B9">
              <w:rPr>
                <w:rFonts w:ascii="Cambria" w:hAnsi="Cambria"/>
                <w:b/>
              </w:rPr>
              <w:t>.</w:t>
            </w:r>
            <w:r>
              <w:rPr>
                <w:rFonts w:ascii="Cambria" w:hAnsi="Cambria"/>
                <w:b/>
              </w:rPr>
              <w:t>12</w:t>
            </w:r>
            <w:r w:rsidR="00AC15B9">
              <w:rPr>
                <w:rFonts w:ascii="Cambria" w:hAnsi="Cambria"/>
                <w:b/>
              </w:rPr>
              <w:t>.202</w:t>
            </w:r>
            <w:r w:rsidR="003E75CC">
              <w:rPr>
                <w:rFonts w:ascii="Cambria" w:hAnsi="Cambria"/>
                <w:b/>
              </w:rPr>
              <w:t>3</w:t>
            </w:r>
          </w:p>
        </w:tc>
      </w:tr>
      <w:tr w:rsidR="00962FC7" w:rsidRPr="00C1278C" w14:paraId="09FCEC50" w14:textId="77777777" w:rsidTr="00962FC7">
        <w:tc>
          <w:tcPr>
            <w:tcW w:w="4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62C37D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Datum ukončení inventarizace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F242E4" w14:textId="28A7B707" w:rsidR="00962FC7" w:rsidRPr="00C1278C" w:rsidRDefault="004275FA" w:rsidP="00407B93">
            <w:pPr>
              <w:snapToGrid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07.02.2024</w:t>
            </w:r>
          </w:p>
        </w:tc>
      </w:tr>
      <w:tr w:rsidR="00962FC7" w:rsidRPr="00C1278C" w14:paraId="71FC0B42" w14:textId="77777777" w:rsidTr="00962FC7">
        <w:tc>
          <w:tcPr>
            <w:tcW w:w="4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02777A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Datum, k němuž byla provedena inventarizace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AE68EC" w14:textId="0FD8E8C6" w:rsidR="00962FC7" w:rsidRPr="00C1278C" w:rsidRDefault="00962FC7" w:rsidP="00962FC7">
            <w:pPr>
              <w:snapToGrid w:val="0"/>
              <w:rPr>
                <w:rFonts w:ascii="Cambria" w:hAnsi="Cambria"/>
              </w:rPr>
            </w:pPr>
            <w:r w:rsidRPr="00C1278C">
              <w:rPr>
                <w:rFonts w:ascii="Cambria" w:hAnsi="Cambria"/>
                <w:b/>
              </w:rPr>
              <w:t>31.12.20</w:t>
            </w:r>
            <w:r w:rsidR="006303B1">
              <w:rPr>
                <w:rFonts w:ascii="Cambria" w:hAnsi="Cambria"/>
                <w:b/>
              </w:rPr>
              <w:t>2</w:t>
            </w:r>
            <w:r w:rsidR="003E75CC">
              <w:rPr>
                <w:rFonts w:ascii="Cambria" w:hAnsi="Cambria"/>
                <w:b/>
              </w:rPr>
              <w:t>3</w:t>
            </w:r>
          </w:p>
        </w:tc>
      </w:tr>
      <w:tr w:rsidR="00962FC7" w:rsidRPr="00C1278C" w14:paraId="09AE4475" w14:textId="77777777" w:rsidTr="00962FC7">
        <w:trPr>
          <w:trHeight w:val="1134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48E7E6" w14:textId="77777777" w:rsidR="00962FC7" w:rsidRPr="00C1278C" w:rsidRDefault="00962FC7" w:rsidP="00962FC7">
            <w:pPr>
              <w:rPr>
                <w:rFonts w:ascii="Cambria" w:hAnsi="Cambria"/>
              </w:rPr>
            </w:pPr>
            <w:r w:rsidRPr="00C1278C">
              <w:rPr>
                <w:rFonts w:ascii="Cambria" w:hAnsi="Cambria"/>
                <w:b/>
              </w:rPr>
              <w:t>Seznam právních norem upravujících inventarizaci v organizaci: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F54563" w14:textId="77777777" w:rsidR="00962FC7" w:rsidRPr="00C1278C" w:rsidRDefault="00962FC7" w:rsidP="00962FC7">
            <w:pPr>
              <w:rPr>
                <w:rFonts w:ascii="Cambria" w:hAnsi="Cambria"/>
              </w:rPr>
            </w:pPr>
            <w:r w:rsidRPr="00C1278C">
              <w:rPr>
                <w:rFonts w:ascii="Cambria" w:hAnsi="Cambria"/>
              </w:rPr>
              <w:t>- zákon č. 563/1991 Sb., o účetnictví, ve znění pozdějších předpisů,</w:t>
            </w:r>
          </w:p>
          <w:p w14:paraId="7C73B0EA" w14:textId="77777777" w:rsidR="00962FC7" w:rsidRPr="00C1278C" w:rsidRDefault="00962FC7" w:rsidP="00962FC7">
            <w:pPr>
              <w:rPr>
                <w:rFonts w:ascii="Cambria" w:hAnsi="Cambria"/>
              </w:rPr>
            </w:pPr>
            <w:r w:rsidRPr="00C1278C">
              <w:rPr>
                <w:rFonts w:ascii="Cambria" w:hAnsi="Cambria"/>
              </w:rPr>
              <w:t>- vyhláška č. 270/2010 Sb., o inventarizaci majetku a závazků,</w:t>
            </w:r>
          </w:p>
          <w:p w14:paraId="7D570BEC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</w:rPr>
              <w:t>- vyhláška č. 410/2009 Sb., kterou se provádějí některá ustanovení</w:t>
            </w:r>
            <w:r w:rsidR="00B9655F">
              <w:rPr>
                <w:rFonts w:ascii="Cambria" w:hAnsi="Cambria"/>
              </w:rPr>
              <w:t xml:space="preserve"> </w:t>
            </w:r>
            <w:proofErr w:type="spellStart"/>
            <w:r w:rsidRPr="00C1278C">
              <w:rPr>
                <w:rFonts w:ascii="Cambria" w:hAnsi="Cambria"/>
              </w:rPr>
              <w:t>z.č</w:t>
            </w:r>
            <w:proofErr w:type="spellEnd"/>
            <w:r w:rsidRPr="00C1278C">
              <w:rPr>
                <w:rFonts w:ascii="Cambria" w:hAnsi="Cambria"/>
              </w:rPr>
              <w:t>. 563/1991 Sb</w:t>
            </w:r>
            <w:r w:rsidR="00B9655F">
              <w:rPr>
                <w:rFonts w:ascii="Cambria" w:hAnsi="Cambria"/>
              </w:rPr>
              <w:t>.</w:t>
            </w:r>
            <w:r w:rsidRPr="00C1278C">
              <w:rPr>
                <w:rFonts w:ascii="Cambria" w:hAnsi="Cambria"/>
              </w:rPr>
              <w:t>, ve znění pozdějších předpisů</w:t>
            </w:r>
          </w:p>
          <w:p w14:paraId="0F7153F3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</w:p>
        </w:tc>
      </w:tr>
      <w:tr w:rsidR="00962FC7" w:rsidRPr="00C1278C" w14:paraId="562D1AA2" w14:textId="77777777" w:rsidTr="00962FC7">
        <w:trPr>
          <w:trHeight w:val="848"/>
        </w:trPr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84F24D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Způsob provedení inventur</w:t>
            </w:r>
          </w:p>
        </w:tc>
        <w:tc>
          <w:tcPr>
            <w:tcW w:w="6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05DD8" w14:textId="77777777" w:rsidR="00962FC7" w:rsidRPr="00C1278C" w:rsidRDefault="00962FC7" w:rsidP="00962FC7">
            <w:pPr>
              <w:snapToGrid w:val="0"/>
              <w:rPr>
                <w:rFonts w:ascii="Cambria" w:hAnsi="Cambria"/>
              </w:rPr>
            </w:pPr>
            <w:r w:rsidRPr="00C1278C">
              <w:rPr>
                <w:rFonts w:ascii="Cambria" w:hAnsi="Cambria"/>
                <w:b/>
              </w:rPr>
              <w:t>Fyzická a dokladová</w:t>
            </w:r>
          </w:p>
        </w:tc>
      </w:tr>
      <w:tr w:rsidR="00962FC7" w:rsidRPr="00C1278C" w14:paraId="570D95D1" w14:textId="77777777" w:rsidTr="00962FC7">
        <w:tc>
          <w:tcPr>
            <w:tcW w:w="9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399BD" w14:textId="77777777" w:rsidR="00962FC7" w:rsidRPr="00C1278C" w:rsidRDefault="00962FC7" w:rsidP="00962FC7">
            <w:pPr>
              <w:jc w:val="center"/>
              <w:rPr>
                <w:rFonts w:ascii="Cambria" w:hAnsi="Cambria"/>
              </w:rPr>
            </w:pPr>
            <w:r w:rsidRPr="00C1278C">
              <w:rPr>
                <w:rFonts w:ascii="Cambria" w:hAnsi="Cambria"/>
                <w:b/>
              </w:rPr>
              <w:t>Členové inventarizační komise</w:t>
            </w:r>
          </w:p>
        </w:tc>
      </w:tr>
      <w:tr w:rsidR="00962FC7" w:rsidRPr="00C1278C" w14:paraId="42535CE3" w14:textId="77777777" w:rsidTr="00547F45">
        <w:tc>
          <w:tcPr>
            <w:tcW w:w="933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F394892" w14:textId="77777777" w:rsidR="00547F45" w:rsidRDefault="00962FC7" w:rsidP="00547F45">
            <w:pPr>
              <w:jc w:val="left"/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HIK</w:t>
            </w:r>
            <w:r w:rsidR="00547F45">
              <w:rPr>
                <w:rFonts w:ascii="Cambria" w:hAnsi="Cambria"/>
                <w:b/>
              </w:rPr>
              <w:t>:</w:t>
            </w:r>
            <w:r w:rsidRPr="00C1278C">
              <w:rPr>
                <w:rFonts w:ascii="Cambria" w:hAnsi="Cambria"/>
                <w:b/>
              </w:rPr>
              <w:tab/>
            </w:r>
            <w:r w:rsidRPr="00C1278C">
              <w:rPr>
                <w:rFonts w:ascii="Cambria" w:hAnsi="Cambria"/>
                <w:b/>
              </w:rPr>
              <w:tab/>
            </w:r>
          </w:p>
          <w:p w14:paraId="13A1D41F" w14:textId="77777777" w:rsidR="00962FC7" w:rsidRPr="00C1278C" w:rsidRDefault="00962FC7" w:rsidP="00547F45">
            <w:pPr>
              <w:jc w:val="left"/>
              <w:rPr>
                <w:rFonts w:ascii="Cambria" w:hAnsi="Cambria"/>
              </w:rPr>
            </w:pPr>
            <w:r w:rsidRPr="00C1278C">
              <w:rPr>
                <w:rFonts w:ascii="Cambria" w:hAnsi="Cambria"/>
              </w:rPr>
              <w:t>předseda:</w:t>
            </w:r>
            <w:r w:rsidR="00643C1A">
              <w:rPr>
                <w:rFonts w:ascii="Cambria" w:hAnsi="Cambria"/>
              </w:rPr>
              <w:t xml:space="preserve"> Ing. Tomáš Bryknar</w:t>
            </w:r>
          </w:p>
        </w:tc>
      </w:tr>
      <w:tr w:rsidR="00962FC7" w:rsidRPr="00C1278C" w14:paraId="0C14BEBD" w14:textId="77777777" w:rsidTr="00547F45">
        <w:tc>
          <w:tcPr>
            <w:tcW w:w="9337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31F5014" w14:textId="77777777" w:rsidR="00962FC7" w:rsidRDefault="00962FC7" w:rsidP="00547F45">
            <w:pPr>
              <w:jc w:val="left"/>
              <w:rPr>
                <w:rFonts w:ascii="Cambria" w:hAnsi="Cambria"/>
              </w:rPr>
            </w:pPr>
            <w:r w:rsidRPr="00C1278C">
              <w:rPr>
                <w:rFonts w:ascii="Cambria" w:hAnsi="Cambria"/>
              </w:rPr>
              <w:t>člen:</w:t>
            </w:r>
            <w:r w:rsidR="00643C1A">
              <w:rPr>
                <w:rFonts w:ascii="Cambria" w:hAnsi="Cambria"/>
              </w:rPr>
              <w:t xml:space="preserve"> Romana Konrádová</w:t>
            </w:r>
          </w:p>
          <w:p w14:paraId="334FBA0D" w14:textId="77777777" w:rsidR="00A603DE" w:rsidRDefault="00A603DE" w:rsidP="00547F45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člen: Klára Foitlová</w:t>
            </w:r>
          </w:p>
          <w:p w14:paraId="14A153B3" w14:textId="77777777" w:rsidR="00643C1A" w:rsidRPr="00C1278C" w:rsidRDefault="00643C1A" w:rsidP="00547F45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člen: Ing. Irena Marková</w:t>
            </w:r>
          </w:p>
        </w:tc>
      </w:tr>
      <w:tr w:rsidR="00962FC7" w:rsidRPr="00C1278C" w14:paraId="3E0475C2" w14:textId="77777777" w:rsidTr="00547F45">
        <w:tc>
          <w:tcPr>
            <w:tcW w:w="9337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E621CB" w14:textId="77777777" w:rsidR="00962FC7" w:rsidRDefault="00962FC7" w:rsidP="00547F45">
            <w:pPr>
              <w:jc w:val="left"/>
              <w:rPr>
                <w:rFonts w:ascii="Cambria" w:hAnsi="Cambria"/>
              </w:rPr>
            </w:pPr>
            <w:r w:rsidRPr="00C1278C">
              <w:rPr>
                <w:rFonts w:ascii="Cambria" w:hAnsi="Cambria"/>
              </w:rPr>
              <w:t>člen:</w:t>
            </w:r>
            <w:r w:rsidR="00643C1A">
              <w:rPr>
                <w:rFonts w:ascii="Cambria" w:hAnsi="Cambria"/>
              </w:rPr>
              <w:t xml:space="preserve"> </w:t>
            </w:r>
            <w:r w:rsidR="007E6E96">
              <w:rPr>
                <w:rFonts w:ascii="Cambria" w:hAnsi="Cambria"/>
              </w:rPr>
              <w:t>Ing. Klára Mayerová</w:t>
            </w:r>
          </w:p>
          <w:p w14:paraId="21AB2704" w14:textId="77777777" w:rsidR="00643C1A" w:rsidRPr="00C1278C" w:rsidRDefault="00643C1A" w:rsidP="00547F45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člen: Karel Novotný</w:t>
            </w:r>
          </w:p>
        </w:tc>
      </w:tr>
    </w:tbl>
    <w:p w14:paraId="4C265AE2" w14:textId="2A7A4C72" w:rsidR="00962FC7" w:rsidRDefault="00962FC7" w:rsidP="00962FC7">
      <w:pPr>
        <w:rPr>
          <w:rFonts w:ascii="Cambria" w:hAnsi="Cambria"/>
        </w:rPr>
      </w:pPr>
    </w:p>
    <w:p w14:paraId="30D38543" w14:textId="77777777" w:rsidR="00365DB6" w:rsidRDefault="00365DB6" w:rsidP="00962FC7">
      <w:pPr>
        <w:rPr>
          <w:rFonts w:ascii="Cambria" w:hAnsi="Cambria"/>
        </w:rPr>
      </w:pPr>
    </w:p>
    <w:p w14:paraId="76796DE9" w14:textId="77777777" w:rsidR="00643C1A" w:rsidRDefault="00643C1A" w:rsidP="00962FC7">
      <w:pPr>
        <w:rPr>
          <w:rFonts w:ascii="Cambria" w:hAnsi="Cambria"/>
        </w:rPr>
      </w:pPr>
    </w:p>
    <w:p w14:paraId="2B7A6D5F" w14:textId="77777777" w:rsidR="00E86679" w:rsidRDefault="00E86679" w:rsidP="00962FC7">
      <w:pPr>
        <w:rPr>
          <w:rFonts w:ascii="Cambria" w:hAnsi="Cambria"/>
        </w:rPr>
      </w:pPr>
    </w:p>
    <w:p w14:paraId="12C29461" w14:textId="77777777" w:rsidR="00E86679" w:rsidRPr="00C1278C" w:rsidRDefault="00E86679" w:rsidP="00962FC7">
      <w:pPr>
        <w:rPr>
          <w:rFonts w:ascii="Cambria" w:hAnsi="Cambria"/>
        </w:rPr>
      </w:pPr>
    </w:p>
    <w:tbl>
      <w:tblPr>
        <w:tblW w:w="977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817"/>
        <w:gridCol w:w="6953"/>
      </w:tblGrid>
      <w:tr w:rsidR="00962FC7" w:rsidRPr="00C1278C" w14:paraId="4F46C3E6" w14:textId="77777777" w:rsidTr="007E6E96">
        <w:tc>
          <w:tcPr>
            <w:tcW w:w="977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30FED" w14:textId="77777777" w:rsidR="00962FC7" w:rsidRPr="00C1278C" w:rsidRDefault="00962FC7" w:rsidP="00962FC7">
            <w:pPr>
              <w:jc w:val="center"/>
              <w:rPr>
                <w:rFonts w:ascii="Cambria" w:hAnsi="Cambria"/>
              </w:rPr>
            </w:pPr>
            <w:r w:rsidRPr="00C1278C">
              <w:rPr>
                <w:rFonts w:ascii="Cambria" w:hAnsi="Cambria"/>
                <w:b/>
              </w:rPr>
              <w:lastRenderedPageBreak/>
              <w:t>1. Vyhodnocení dodržení vyhlášky č. 270/2010 Sb., a vnitřní směrnice k provedení inventarizace</w:t>
            </w:r>
          </w:p>
        </w:tc>
      </w:tr>
      <w:tr w:rsidR="00962FC7" w:rsidRPr="00C1278C" w14:paraId="6DBC4D01" w14:textId="77777777" w:rsidTr="007E6E96">
        <w:tc>
          <w:tcPr>
            <w:tcW w:w="977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8D62F5C" w14:textId="096ACFF3" w:rsidR="00962FC7" w:rsidRPr="00643C1A" w:rsidRDefault="00962FC7" w:rsidP="00962FC7">
            <w:pPr>
              <w:pBdr>
                <w:top w:val="single" w:sz="8" w:space="1" w:color="000000"/>
              </w:pBdr>
              <w:rPr>
                <w:rFonts w:ascii="Cambria" w:hAnsi="Cambria"/>
              </w:rPr>
            </w:pPr>
            <w:r w:rsidRPr="00C1278C">
              <w:rPr>
                <w:rFonts w:ascii="Cambria" w:hAnsi="Cambria"/>
                <w:b/>
              </w:rPr>
              <w:t>Naplnění plánu inventur:</w:t>
            </w:r>
            <w:r w:rsidR="00643C1A">
              <w:rPr>
                <w:rFonts w:ascii="Cambria" w:hAnsi="Cambria"/>
                <w:b/>
              </w:rPr>
              <w:t xml:space="preserve"> </w:t>
            </w:r>
            <w:r w:rsidR="00643C1A">
              <w:rPr>
                <w:rFonts w:ascii="Cambria" w:hAnsi="Cambria"/>
              </w:rPr>
              <w:t>Plán inventur na rok 20</w:t>
            </w:r>
            <w:r w:rsidR="006303B1">
              <w:rPr>
                <w:rFonts w:ascii="Cambria" w:hAnsi="Cambria"/>
              </w:rPr>
              <w:t>2</w:t>
            </w:r>
            <w:r w:rsidR="003E75CC">
              <w:rPr>
                <w:rFonts w:ascii="Cambria" w:hAnsi="Cambria"/>
              </w:rPr>
              <w:t>3</w:t>
            </w:r>
            <w:r w:rsidR="00643C1A">
              <w:rPr>
                <w:rFonts w:ascii="Cambria" w:hAnsi="Cambria"/>
              </w:rPr>
              <w:t xml:space="preserve"> byl splněn.</w:t>
            </w:r>
          </w:p>
          <w:p w14:paraId="7BE3D055" w14:textId="77777777" w:rsidR="00962FC7" w:rsidRPr="00C1278C" w:rsidRDefault="00962FC7" w:rsidP="00962FC7">
            <w:pPr>
              <w:rPr>
                <w:rFonts w:ascii="Cambria" w:hAnsi="Cambria"/>
              </w:rPr>
            </w:pPr>
          </w:p>
        </w:tc>
      </w:tr>
      <w:tr w:rsidR="00962FC7" w:rsidRPr="00C1278C" w14:paraId="2CFEEEE9" w14:textId="77777777" w:rsidTr="007E6E96">
        <w:tc>
          <w:tcPr>
            <w:tcW w:w="977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BE31094" w14:textId="77777777" w:rsidR="00962FC7" w:rsidRPr="00C1278C" w:rsidRDefault="00962FC7" w:rsidP="00962FC7">
            <w:pPr>
              <w:pBdr>
                <w:top w:val="single" w:sz="8" w:space="1" w:color="000000"/>
              </w:pBd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Informace o seznámení členů inventarizační komise s procesem inventarizace:</w:t>
            </w:r>
          </w:p>
          <w:p w14:paraId="00FFE94B" w14:textId="77777777" w:rsidR="00643C1A" w:rsidRDefault="00643C1A" w:rsidP="00962FC7">
            <w:pPr>
              <w:rPr>
                <w:rFonts w:ascii="Cambria" w:hAnsi="Cambria"/>
                <w:b/>
              </w:rPr>
            </w:pPr>
          </w:p>
          <w:p w14:paraId="74A58888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 xml:space="preserve">                                                                           ANO</w:t>
            </w:r>
          </w:p>
          <w:p w14:paraId="0D73C2A5" w14:textId="77777777" w:rsidR="00962FC7" w:rsidRPr="00C1278C" w:rsidRDefault="00962FC7" w:rsidP="00962FC7">
            <w:pPr>
              <w:rPr>
                <w:rFonts w:ascii="Cambria" w:hAnsi="Cambria"/>
                <w:b/>
              </w:rPr>
            </w:pPr>
          </w:p>
        </w:tc>
      </w:tr>
      <w:tr w:rsidR="00962FC7" w:rsidRPr="00C1278C" w14:paraId="66F3ACF7" w14:textId="77777777" w:rsidTr="007E6E96">
        <w:tc>
          <w:tcPr>
            <w:tcW w:w="97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20389C" w14:textId="77777777" w:rsidR="00962FC7" w:rsidRPr="00C1278C" w:rsidRDefault="00962FC7" w:rsidP="00962FC7">
            <w:pPr>
              <w:pBdr>
                <w:top w:val="single" w:sz="8" w:space="1" w:color="000000"/>
              </w:pBd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Opatření přijatá ke zlepšení průběhu inventur a eliminaci chyb:</w:t>
            </w:r>
          </w:p>
          <w:p w14:paraId="2E289BF4" w14:textId="77777777" w:rsidR="00962FC7" w:rsidRPr="00C1278C" w:rsidRDefault="00643C1A" w:rsidP="00FB532B">
            <w:pPr>
              <w:pStyle w:val="Zkladntextodsazen2"/>
              <w:rPr>
                <w:b/>
              </w:rPr>
            </w:pPr>
            <w:r>
              <w:t>Při inventarizaci majetku a závazků se městská část zaměřila na důkladné dodržování vyhlášky č. 270/2010 Sb., o inventarizace majetku a závazků</w:t>
            </w:r>
            <w:r w:rsidR="006303B1">
              <w:t>.</w:t>
            </w:r>
            <w:r>
              <w:t xml:space="preserve"> </w:t>
            </w:r>
          </w:p>
        </w:tc>
      </w:tr>
      <w:tr w:rsidR="00962FC7" w:rsidRPr="00C1278C" w14:paraId="5EE2BA91" w14:textId="77777777" w:rsidTr="007E6E96">
        <w:tc>
          <w:tcPr>
            <w:tcW w:w="977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D3F6AF4" w14:textId="77777777" w:rsidR="00962FC7" w:rsidRPr="00C1278C" w:rsidRDefault="00962FC7" w:rsidP="00962FC7">
            <w:pPr>
              <w:snapToGrid w:val="0"/>
              <w:jc w:val="center"/>
              <w:rPr>
                <w:rFonts w:ascii="Cambria" w:hAnsi="Cambria"/>
                <w:b/>
              </w:rPr>
            </w:pPr>
          </w:p>
          <w:p w14:paraId="74F6E9B4" w14:textId="77777777" w:rsidR="00962FC7" w:rsidRPr="00C1278C" w:rsidRDefault="00962FC7" w:rsidP="00962FC7">
            <w:pPr>
              <w:jc w:val="center"/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>2. Informace o zjištěných inventarizačních rozdílech</w:t>
            </w:r>
          </w:p>
          <w:p w14:paraId="3F70A124" w14:textId="77777777" w:rsidR="00962FC7" w:rsidRPr="00C1278C" w:rsidRDefault="00962FC7" w:rsidP="00962FC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962FC7" w:rsidRPr="00C1278C" w14:paraId="5A335DF5" w14:textId="77777777" w:rsidTr="007E6E96">
        <w:trPr>
          <w:trHeight w:val="2180"/>
        </w:trPr>
        <w:tc>
          <w:tcPr>
            <w:tcW w:w="977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C3A5F" w14:textId="77777777" w:rsidR="00962FC7" w:rsidRDefault="00962FC7" w:rsidP="00962FC7">
            <w:pPr>
              <w:pBdr>
                <w:top w:val="single" w:sz="8" w:space="1" w:color="000000"/>
              </w:pBdr>
              <w:rPr>
                <w:rFonts w:ascii="Cambria" w:hAnsi="Cambria"/>
                <w:b/>
              </w:rPr>
            </w:pPr>
            <w:r w:rsidRPr="00C1278C">
              <w:rPr>
                <w:rFonts w:ascii="Cambria" w:hAnsi="Cambria"/>
                <w:b/>
              </w:rPr>
              <w:t xml:space="preserve">Seznam zjištěných rozdílů proúčtovaných do účetní závěrky /sl. 3 </w:t>
            </w:r>
            <w:proofErr w:type="spellStart"/>
            <w:r w:rsidRPr="00C1278C">
              <w:rPr>
                <w:rFonts w:ascii="Cambria" w:hAnsi="Cambria"/>
                <w:b/>
              </w:rPr>
              <w:t>VYKu</w:t>
            </w:r>
            <w:proofErr w:type="spellEnd"/>
            <w:r w:rsidRPr="00C1278C">
              <w:rPr>
                <w:rFonts w:ascii="Cambria" w:hAnsi="Cambria"/>
                <w:b/>
              </w:rPr>
              <w:t>/včetně návrhu jejich vypořádání:</w:t>
            </w:r>
            <w:r w:rsidR="00643C1A">
              <w:rPr>
                <w:rFonts w:ascii="Cambria" w:hAnsi="Cambria"/>
                <w:b/>
              </w:rPr>
              <w:t xml:space="preserve"> </w:t>
            </w:r>
          </w:p>
          <w:p w14:paraId="44F8255B" w14:textId="77777777" w:rsidR="00494CD2" w:rsidRDefault="002A7527" w:rsidP="00494CD2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Nebyly zjištěny žádné rozdíly</w:t>
            </w:r>
          </w:p>
          <w:p w14:paraId="7EBDDB89" w14:textId="77777777" w:rsidR="000C1CA6" w:rsidRDefault="000C1CA6" w:rsidP="00494CD2">
            <w:pPr>
              <w:rPr>
                <w:rFonts w:ascii="Cambria" w:hAnsi="Cambria" w:cs="Cambria"/>
                <w:i/>
              </w:rPr>
            </w:pPr>
          </w:p>
          <w:p w14:paraId="549C21E9" w14:textId="77777777" w:rsidR="00962FC7" w:rsidRPr="00C1278C" w:rsidRDefault="00962FC7" w:rsidP="00962FC7">
            <w:pPr>
              <w:pBdr>
                <w:top w:val="single" w:sz="8" w:space="1" w:color="000000"/>
              </w:pBdr>
              <w:rPr>
                <w:rFonts w:ascii="Cambria" w:hAnsi="Cambria"/>
                <w:i/>
              </w:rPr>
            </w:pPr>
            <w:r w:rsidRPr="00C1278C">
              <w:rPr>
                <w:rFonts w:ascii="Cambria" w:hAnsi="Cambria"/>
                <w:b/>
              </w:rPr>
              <w:t>Seznam zjištěných rozdílů nevypořádaných do účetní závěrky /sl. 4</w:t>
            </w:r>
            <w:r w:rsidR="008676A1">
              <w:rPr>
                <w:rFonts w:ascii="Cambria" w:hAnsi="Cambria"/>
                <w:b/>
              </w:rPr>
              <w:t xml:space="preserve"> </w:t>
            </w:r>
            <w:proofErr w:type="spellStart"/>
            <w:r w:rsidR="008676A1">
              <w:rPr>
                <w:rFonts w:ascii="Cambria" w:hAnsi="Cambria"/>
                <w:b/>
              </w:rPr>
              <w:t>V</w:t>
            </w:r>
            <w:r w:rsidRPr="00C1278C">
              <w:rPr>
                <w:rFonts w:ascii="Cambria" w:hAnsi="Cambria"/>
                <w:b/>
              </w:rPr>
              <w:t>YKu</w:t>
            </w:r>
            <w:proofErr w:type="spellEnd"/>
            <w:r w:rsidRPr="00C1278C">
              <w:rPr>
                <w:rFonts w:ascii="Cambria" w:hAnsi="Cambria"/>
                <w:b/>
              </w:rPr>
              <w:t>/včetně návrhu jejich vypořádání:</w:t>
            </w:r>
          </w:p>
          <w:p w14:paraId="04CDCD53" w14:textId="77777777" w:rsidR="00643C1A" w:rsidRDefault="00643C1A" w:rsidP="00643C1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Nebyly zjištěny žádné rozdíly.</w:t>
            </w:r>
          </w:p>
          <w:p w14:paraId="664AAF49" w14:textId="77777777" w:rsidR="00962FC7" w:rsidRPr="00C1278C" w:rsidRDefault="00962FC7" w:rsidP="00643C1A">
            <w:pPr>
              <w:rPr>
                <w:rFonts w:ascii="Cambria" w:hAnsi="Cambria"/>
              </w:rPr>
            </w:pPr>
          </w:p>
        </w:tc>
      </w:tr>
      <w:tr w:rsidR="007E6E96" w:rsidRPr="00C1278C" w14:paraId="1D5D25B5" w14:textId="77777777" w:rsidTr="007E6E96">
        <w:trPr>
          <w:trHeight w:val="60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8630E" w14:textId="77777777" w:rsidR="007E6E96" w:rsidRPr="00C1278C" w:rsidRDefault="007E6E96" w:rsidP="005B4A98">
            <w:pPr>
              <w:tabs>
                <w:tab w:val="left" w:pos="0"/>
              </w:tabs>
              <w:snapToGrid w:val="0"/>
              <w:jc w:val="left"/>
              <w:rPr>
                <w:rFonts w:ascii="Cambria" w:hAnsi="Cambria"/>
              </w:rPr>
            </w:pPr>
            <w:r w:rsidRPr="00C1278C">
              <w:rPr>
                <w:rFonts w:ascii="Cambria" w:hAnsi="Cambria"/>
                <w:b/>
              </w:rPr>
              <w:t>Dokumentace uložena       (kontaktní osoba):</w:t>
            </w:r>
            <w:r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6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ED153B" w14:textId="77777777" w:rsidR="007E6E96" w:rsidRDefault="005B4A98" w:rsidP="00962FC7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ÚMČ Praha – Troja, ekonomické oddělení</w:t>
            </w:r>
          </w:p>
          <w:p w14:paraId="17547019" w14:textId="77777777" w:rsidR="005B4A98" w:rsidRPr="00C1278C" w:rsidRDefault="005B4A98" w:rsidP="00962FC7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Romana Konrádová, vedoucí oddělení</w:t>
            </w:r>
          </w:p>
        </w:tc>
      </w:tr>
    </w:tbl>
    <w:p w14:paraId="197C5431" w14:textId="77777777" w:rsidR="00FB532B" w:rsidRDefault="00FB532B" w:rsidP="00962FC7">
      <w:pPr>
        <w:rPr>
          <w:rFonts w:ascii="Cambria" w:hAnsi="Cambria"/>
        </w:rPr>
      </w:pPr>
    </w:p>
    <w:p w14:paraId="51B6A18F" w14:textId="77777777" w:rsidR="002A7527" w:rsidRDefault="002A7527" w:rsidP="00962FC7">
      <w:pPr>
        <w:rPr>
          <w:rFonts w:ascii="Cambria" w:hAnsi="Cambria"/>
          <w:b/>
        </w:rPr>
      </w:pPr>
    </w:p>
    <w:p w14:paraId="6660C8E8" w14:textId="77777777" w:rsidR="00962FC7" w:rsidRDefault="00962FC7" w:rsidP="000104A5">
      <w:pPr>
        <w:rPr>
          <w:rFonts w:ascii="Cambria" w:hAnsi="Cambria"/>
          <w:b/>
        </w:rPr>
      </w:pPr>
      <w:r w:rsidRPr="00C1278C">
        <w:rPr>
          <w:rFonts w:ascii="Cambria" w:hAnsi="Cambria"/>
          <w:b/>
        </w:rPr>
        <w:t>Podstatné skutečnosti:</w:t>
      </w:r>
    </w:p>
    <w:p w14:paraId="2A0863F2" w14:textId="247EB41A" w:rsidR="00F87598" w:rsidRDefault="00880E03" w:rsidP="000104A5">
      <w:pPr>
        <w:rPr>
          <w:rFonts w:ascii="Cambria" w:hAnsi="Cambria"/>
        </w:rPr>
      </w:pPr>
      <w:r>
        <w:rPr>
          <w:rFonts w:ascii="Cambria" w:hAnsi="Cambria"/>
        </w:rPr>
        <w:t xml:space="preserve">     D</w:t>
      </w:r>
      <w:r w:rsidR="00954297">
        <w:rPr>
          <w:rFonts w:ascii="Cambria" w:hAnsi="Cambria"/>
        </w:rPr>
        <w:t xml:space="preserve">ílčími inventarizačními komisemi č. 1 - 7, zřízenými panem starostou </w:t>
      </w:r>
      <w:r w:rsidR="00494CD2">
        <w:rPr>
          <w:rFonts w:ascii="Cambria" w:hAnsi="Cambria"/>
        </w:rPr>
        <w:t xml:space="preserve">Ing. </w:t>
      </w:r>
      <w:r w:rsidR="00954297">
        <w:rPr>
          <w:rFonts w:ascii="Cambria" w:hAnsi="Cambria"/>
        </w:rPr>
        <w:t xml:space="preserve">Tomášem </w:t>
      </w:r>
      <w:proofErr w:type="spellStart"/>
      <w:r w:rsidR="00954297">
        <w:rPr>
          <w:rFonts w:ascii="Cambria" w:hAnsi="Cambria"/>
        </w:rPr>
        <w:t>Bryknarem</w:t>
      </w:r>
      <w:proofErr w:type="spellEnd"/>
      <w:r w:rsidR="00954297">
        <w:rPr>
          <w:rFonts w:ascii="Cambria" w:hAnsi="Cambria"/>
        </w:rPr>
        <w:t xml:space="preserve"> dne </w:t>
      </w:r>
      <w:r w:rsidR="003E75CC">
        <w:rPr>
          <w:rFonts w:ascii="Cambria" w:hAnsi="Cambria"/>
        </w:rPr>
        <w:t>21</w:t>
      </w:r>
      <w:r w:rsidR="008A1E26">
        <w:rPr>
          <w:rFonts w:ascii="Cambria" w:hAnsi="Cambria"/>
        </w:rPr>
        <w:t>.</w:t>
      </w:r>
      <w:r w:rsidR="002733CB">
        <w:rPr>
          <w:rFonts w:ascii="Cambria" w:hAnsi="Cambria"/>
        </w:rPr>
        <w:t xml:space="preserve"> </w:t>
      </w:r>
      <w:r w:rsidR="008A1E26">
        <w:rPr>
          <w:rFonts w:ascii="Cambria" w:hAnsi="Cambria"/>
        </w:rPr>
        <w:t>11.</w:t>
      </w:r>
      <w:r w:rsidR="002733CB">
        <w:rPr>
          <w:rFonts w:ascii="Cambria" w:hAnsi="Cambria"/>
        </w:rPr>
        <w:t xml:space="preserve"> </w:t>
      </w:r>
      <w:r w:rsidR="008A1E26">
        <w:rPr>
          <w:rFonts w:ascii="Cambria" w:hAnsi="Cambria"/>
        </w:rPr>
        <w:t>20</w:t>
      </w:r>
      <w:r w:rsidR="00365DB6">
        <w:rPr>
          <w:rFonts w:ascii="Cambria" w:hAnsi="Cambria"/>
        </w:rPr>
        <w:t>2</w:t>
      </w:r>
      <w:r w:rsidR="003E75CC">
        <w:rPr>
          <w:rFonts w:ascii="Cambria" w:hAnsi="Cambria"/>
        </w:rPr>
        <w:t>3</w:t>
      </w:r>
      <w:r w:rsidR="00954297">
        <w:rPr>
          <w:rFonts w:ascii="Cambria" w:hAnsi="Cambria"/>
        </w:rPr>
        <w:t xml:space="preserve"> byla provedena inventarizace jednotlivých druhů majetku dle Plánu inventur na rok 20</w:t>
      </w:r>
      <w:r w:rsidR="00A30EB9">
        <w:rPr>
          <w:rFonts w:ascii="Cambria" w:hAnsi="Cambria"/>
        </w:rPr>
        <w:t>2</w:t>
      </w:r>
      <w:r w:rsidR="003E75CC">
        <w:rPr>
          <w:rFonts w:ascii="Cambria" w:hAnsi="Cambria"/>
        </w:rPr>
        <w:t>3</w:t>
      </w:r>
      <w:r w:rsidR="00954297">
        <w:rPr>
          <w:rFonts w:ascii="Cambria" w:hAnsi="Cambria"/>
        </w:rPr>
        <w:t xml:space="preserve">. Proběhla fyzická inventarizace dlouhodobého nehmotného majetku, dlouhodobého hmotného majetku a majetku na podrozvahových účtech na jednotlivých střediscích MČ (prodejna potravin, budova Sádky, zdravotní ordinace Sádky, stezka </w:t>
      </w:r>
      <w:proofErr w:type="spellStart"/>
      <w:r w:rsidR="00954297">
        <w:rPr>
          <w:rFonts w:ascii="Cambria" w:hAnsi="Cambria"/>
        </w:rPr>
        <w:t>Q.Schwanka</w:t>
      </w:r>
      <w:proofErr w:type="spellEnd"/>
      <w:r w:rsidR="00954297">
        <w:rPr>
          <w:rFonts w:ascii="Cambria" w:hAnsi="Cambria"/>
        </w:rPr>
        <w:t xml:space="preserve">, </w:t>
      </w:r>
      <w:r w:rsidR="005C0431">
        <w:rPr>
          <w:rFonts w:ascii="Cambria" w:hAnsi="Cambria"/>
        </w:rPr>
        <w:t>klub – Trojský sklep, P</w:t>
      </w:r>
      <w:r w:rsidR="00741E32">
        <w:rPr>
          <w:rFonts w:ascii="Cambria" w:hAnsi="Cambria"/>
        </w:rPr>
        <w:t xml:space="preserve">odhoří, </w:t>
      </w:r>
      <w:r w:rsidR="00954297">
        <w:rPr>
          <w:rFonts w:ascii="Cambria" w:hAnsi="Cambria"/>
        </w:rPr>
        <w:t xml:space="preserve">Dům integrované pomoci-DIP, Dům spokojeného stáří -DSS, Galerie, </w:t>
      </w:r>
      <w:r w:rsidR="00741E32">
        <w:rPr>
          <w:rFonts w:ascii="Cambria" w:hAnsi="Cambria"/>
        </w:rPr>
        <w:t xml:space="preserve">Kulturní centrum, </w:t>
      </w:r>
      <w:r w:rsidR="00954297">
        <w:rPr>
          <w:rFonts w:ascii="Cambria" w:hAnsi="Cambria"/>
        </w:rPr>
        <w:t>psí cvičiště, Vodácká základna, úřad MČ, Kaple sv. Václava, cyklostezka, Trojský kůň,</w:t>
      </w:r>
      <w:r w:rsidR="00741E32">
        <w:rPr>
          <w:rFonts w:ascii="Cambria" w:hAnsi="Cambria"/>
        </w:rPr>
        <w:t xml:space="preserve"> ovocný sad Podhoří,</w:t>
      </w:r>
      <w:r w:rsidR="00954297">
        <w:rPr>
          <w:rFonts w:ascii="Cambria" w:hAnsi="Cambria"/>
        </w:rPr>
        <w:t xml:space="preserve"> školník ZŠ, </w:t>
      </w:r>
      <w:r w:rsidR="001E3CE9">
        <w:rPr>
          <w:rFonts w:ascii="Cambria" w:hAnsi="Cambria"/>
        </w:rPr>
        <w:t>kuchyň + jídelna ZŠ</w:t>
      </w:r>
      <w:r w:rsidR="00954297">
        <w:rPr>
          <w:rFonts w:ascii="Cambria" w:hAnsi="Cambria"/>
        </w:rPr>
        <w:t xml:space="preserve">, </w:t>
      </w:r>
      <w:r w:rsidR="001B171A">
        <w:rPr>
          <w:rFonts w:ascii="Cambria" w:hAnsi="Cambria"/>
        </w:rPr>
        <w:t xml:space="preserve">Trojské gymnázium, </w:t>
      </w:r>
      <w:proofErr w:type="spellStart"/>
      <w:r w:rsidR="00954297">
        <w:rPr>
          <w:rFonts w:ascii="Cambria" w:hAnsi="Cambria"/>
        </w:rPr>
        <w:t>Villa</w:t>
      </w:r>
      <w:proofErr w:type="spellEnd"/>
      <w:r w:rsidR="00954297">
        <w:rPr>
          <w:rFonts w:ascii="Cambria" w:hAnsi="Cambria"/>
        </w:rPr>
        <w:t xml:space="preserve"> Troja, sklad ZŠ, základní škola, tělocvična, venkovní hřiště ZŠ, rezidence </w:t>
      </w:r>
      <w:r w:rsidR="00741E32">
        <w:rPr>
          <w:rFonts w:ascii="Cambria" w:hAnsi="Cambria"/>
        </w:rPr>
        <w:t xml:space="preserve">KOREA, budovy, stavby, pozemky). </w:t>
      </w:r>
    </w:p>
    <w:p w14:paraId="58178F5F" w14:textId="77777777" w:rsidR="00C30DC9" w:rsidRDefault="00C30DC9" w:rsidP="000104A5">
      <w:pPr>
        <w:rPr>
          <w:rFonts w:ascii="Cambria" w:hAnsi="Cambria"/>
        </w:rPr>
      </w:pPr>
    </w:p>
    <w:p w14:paraId="7191A88A" w14:textId="742F5D34" w:rsidR="00A75272" w:rsidRDefault="00954297" w:rsidP="000104A5">
      <w:pPr>
        <w:rPr>
          <w:rFonts w:ascii="Cambria" w:hAnsi="Cambria"/>
        </w:rPr>
      </w:pPr>
      <w:r>
        <w:rPr>
          <w:rFonts w:ascii="Cambria" w:hAnsi="Cambria"/>
        </w:rPr>
        <w:t xml:space="preserve">Dílčí inventarizační komise předložily </w:t>
      </w:r>
      <w:r w:rsidR="009C7A22">
        <w:rPr>
          <w:rFonts w:ascii="Cambria" w:hAnsi="Cambria"/>
        </w:rPr>
        <w:t>h</w:t>
      </w:r>
      <w:r>
        <w:rPr>
          <w:rFonts w:ascii="Cambria" w:hAnsi="Cambria"/>
        </w:rPr>
        <w:t xml:space="preserve">lavní inventarizační komisi odsouhlasené inventurní soupisy. </w:t>
      </w:r>
    </w:p>
    <w:p w14:paraId="281F3D3A" w14:textId="77777777" w:rsidR="000104A5" w:rsidRDefault="000104A5" w:rsidP="000104A5">
      <w:pPr>
        <w:rPr>
          <w:rFonts w:ascii="Cambria" w:hAnsi="Cambria"/>
        </w:rPr>
      </w:pPr>
    </w:p>
    <w:p w14:paraId="7BFBAE9D" w14:textId="12281E4D" w:rsidR="00954297" w:rsidRDefault="00954297" w:rsidP="000104A5">
      <w:pPr>
        <w:rPr>
          <w:rFonts w:ascii="Cambria" w:hAnsi="Cambria"/>
        </w:rPr>
      </w:pPr>
      <w:r>
        <w:rPr>
          <w:rFonts w:ascii="Cambria" w:hAnsi="Cambria"/>
        </w:rPr>
        <w:t>Dokladová inventarizace byla provedena na všech účtech podléhajících inventarizaci k</w:t>
      </w:r>
      <w:r w:rsidR="00880E03">
        <w:rPr>
          <w:rFonts w:ascii="Cambria" w:hAnsi="Cambria"/>
        </w:rPr>
        <w:t xml:space="preserve"> </w:t>
      </w:r>
      <w:r>
        <w:rPr>
          <w:rFonts w:ascii="Cambria" w:hAnsi="Cambria"/>
        </w:rPr>
        <w:t>31.</w:t>
      </w:r>
      <w:r w:rsidR="008A1E26">
        <w:rPr>
          <w:rFonts w:ascii="Cambria" w:hAnsi="Cambria"/>
        </w:rPr>
        <w:t xml:space="preserve"> </w:t>
      </w:r>
      <w:r>
        <w:rPr>
          <w:rFonts w:ascii="Cambria" w:hAnsi="Cambria"/>
        </w:rPr>
        <w:t>12.</w:t>
      </w:r>
      <w:r w:rsidR="008A1E26">
        <w:rPr>
          <w:rFonts w:ascii="Cambria" w:hAnsi="Cambria"/>
        </w:rPr>
        <w:t xml:space="preserve"> </w:t>
      </w:r>
      <w:r>
        <w:rPr>
          <w:rFonts w:ascii="Cambria" w:hAnsi="Cambria"/>
        </w:rPr>
        <w:t>20</w:t>
      </w:r>
      <w:r w:rsidR="00A30EB9">
        <w:rPr>
          <w:rFonts w:ascii="Cambria" w:hAnsi="Cambria"/>
        </w:rPr>
        <w:t>2</w:t>
      </w:r>
      <w:r w:rsidR="003E75CC">
        <w:rPr>
          <w:rFonts w:ascii="Cambria" w:hAnsi="Cambria"/>
        </w:rPr>
        <w:t>3</w:t>
      </w:r>
      <w:r>
        <w:rPr>
          <w:rFonts w:ascii="Cambria" w:hAnsi="Cambria"/>
        </w:rPr>
        <w:t xml:space="preserve"> a je doložena inventurními soupisy. </w:t>
      </w:r>
    </w:p>
    <w:p w14:paraId="0166C03D" w14:textId="77777777" w:rsidR="00954297" w:rsidRDefault="00A75272" w:rsidP="000104A5">
      <w:pPr>
        <w:rPr>
          <w:rFonts w:ascii="Cambria" w:hAnsi="Cambria"/>
        </w:rPr>
      </w:pPr>
      <w:r>
        <w:rPr>
          <w:rFonts w:ascii="Cambria" w:hAnsi="Cambria"/>
        </w:rPr>
        <w:t>Při</w:t>
      </w:r>
      <w:r w:rsidR="00954297">
        <w:rPr>
          <w:rFonts w:ascii="Cambria" w:hAnsi="Cambria"/>
        </w:rPr>
        <w:t xml:space="preserve"> dokladové inventarizaci nebyly nalezeny žádné inventarizační rozdíly.</w:t>
      </w:r>
    </w:p>
    <w:p w14:paraId="5DE999BB" w14:textId="77777777" w:rsidR="00954297" w:rsidRDefault="00954297" w:rsidP="000104A5">
      <w:pPr>
        <w:rPr>
          <w:rFonts w:ascii="Cambria" w:hAnsi="Cambria"/>
        </w:rPr>
      </w:pPr>
      <w:r>
        <w:rPr>
          <w:rFonts w:ascii="Cambria" w:hAnsi="Cambria"/>
        </w:rPr>
        <w:t xml:space="preserve">HIK bere navrhované postupy na vědomí a souhlasí s nimi. </w:t>
      </w:r>
    </w:p>
    <w:p w14:paraId="65BB9644" w14:textId="77777777" w:rsidR="00010B7B" w:rsidRDefault="00010B7B" w:rsidP="000104A5">
      <w:pPr>
        <w:rPr>
          <w:rFonts w:ascii="Cambria" w:hAnsi="Cambria"/>
        </w:rPr>
      </w:pPr>
    </w:p>
    <w:p w14:paraId="33DE938E" w14:textId="77777777" w:rsidR="000104A5" w:rsidRDefault="000104A5" w:rsidP="000104A5">
      <w:pPr>
        <w:rPr>
          <w:rFonts w:ascii="Cambria" w:hAnsi="Cambria"/>
        </w:rPr>
      </w:pPr>
    </w:p>
    <w:p w14:paraId="7FF26BA0" w14:textId="77777777" w:rsidR="00B61A6B" w:rsidRDefault="00B61A6B" w:rsidP="000104A5">
      <w:pPr>
        <w:rPr>
          <w:rFonts w:ascii="Cambria" w:hAnsi="Cambria"/>
        </w:rPr>
      </w:pPr>
    </w:p>
    <w:p w14:paraId="68809341" w14:textId="376A314F" w:rsidR="004D5634" w:rsidRDefault="00954297" w:rsidP="000104A5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DIK předkládají HIK soupis majetku, který je nepoužívaný, zastaralý </w:t>
      </w:r>
      <w:r w:rsidR="008A74EF">
        <w:rPr>
          <w:rFonts w:ascii="Cambria" w:hAnsi="Cambria"/>
        </w:rPr>
        <w:t>a</w:t>
      </w:r>
      <w:r>
        <w:rPr>
          <w:rFonts w:ascii="Cambria" w:hAnsi="Cambria"/>
        </w:rPr>
        <w:t xml:space="preserve"> </w:t>
      </w:r>
      <w:r w:rsidR="008A74EF">
        <w:rPr>
          <w:rFonts w:ascii="Cambria" w:hAnsi="Cambria"/>
        </w:rPr>
        <w:t>opo</w:t>
      </w:r>
      <w:r>
        <w:rPr>
          <w:rFonts w:ascii="Cambria" w:hAnsi="Cambria"/>
        </w:rPr>
        <w:t>třeb</w:t>
      </w:r>
      <w:r w:rsidR="008A74EF">
        <w:rPr>
          <w:rFonts w:ascii="Cambria" w:hAnsi="Cambria"/>
        </w:rPr>
        <w:t>ovaný</w:t>
      </w:r>
      <w:r>
        <w:rPr>
          <w:rFonts w:ascii="Cambria" w:hAnsi="Cambria"/>
        </w:rPr>
        <w:t>:</w:t>
      </w:r>
    </w:p>
    <w:tbl>
      <w:tblPr>
        <w:tblW w:w="92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977"/>
        <w:gridCol w:w="567"/>
        <w:gridCol w:w="1134"/>
        <w:gridCol w:w="1276"/>
        <w:gridCol w:w="1559"/>
      </w:tblGrid>
      <w:tr w:rsidR="00A82450" w:rsidRPr="000104A5" w14:paraId="09EE204E" w14:textId="77777777" w:rsidTr="001B171A">
        <w:trPr>
          <w:trHeight w:val="30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875F" w14:textId="58E7F208" w:rsidR="00A82450" w:rsidRPr="000104A5" w:rsidRDefault="00954297" w:rsidP="00453575">
            <w:pPr>
              <w:suppressAutoHyphens w:val="0"/>
              <w:overflowPunct/>
              <w:autoSpaceDE/>
              <w:jc w:val="center"/>
              <w:textAlignment w:val="auto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0104A5">
              <w:rPr>
                <w:rFonts w:ascii="Cambria" w:hAnsi="Cambria"/>
                <w:sz w:val="22"/>
                <w:szCs w:val="22"/>
              </w:rPr>
              <w:t xml:space="preserve"> </w:t>
            </w:r>
            <w:bookmarkStart w:id="0" w:name="_Hlk956838"/>
            <w:bookmarkStart w:id="1" w:name="_Hlk958597"/>
            <w:r w:rsidR="00A82450" w:rsidRPr="000104A5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Inventární číslo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4B50" w14:textId="77777777" w:rsidR="00A82450" w:rsidRPr="000104A5" w:rsidRDefault="00A82450" w:rsidP="00453575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Technický název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C0305" w14:textId="6DD74FAB" w:rsidR="00A82450" w:rsidRPr="000104A5" w:rsidRDefault="00B42EA5" w:rsidP="00453575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EVS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0A33" w14:textId="5FF2D6DC" w:rsidR="00453575" w:rsidRPr="000104A5" w:rsidRDefault="00A82450" w:rsidP="00453575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Pořiz</w:t>
            </w:r>
            <w:r w:rsidR="00453575" w:rsidRPr="000104A5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ovací</w:t>
            </w:r>
          </w:p>
          <w:p w14:paraId="0B3CB12F" w14:textId="39DF4969" w:rsidR="00A82450" w:rsidRPr="000104A5" w:rsidRDefault="00A82450" w:rsidP="00453575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0DCD" w14:textId="77777777" w:rsidR="00A82450" w:rsidRPr="000104A5" w:rsidRDefault="00A82450" w:rsidP="00453575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Datum pořízení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2E05" w14:textId="77777777" w:rsidR="00A82450" w:rsidRPr="000104A5" w:rsidRDefault="00A82450" w:rsidP="00453575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Důvod vyřazení</w:t>
            </w:r>
          </w:p>
        </w:tc>
      </w:tr>
      <w:bookmarkEnd w:id="0"/>
      <w:tr w:rsidR="00B42EA5" w:rsidRPr="000104A5" w14:paraId="101CD744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36E3" w14:textId="14BA0FF1" w:rsidR="00B42EA5" w:rsidRPr="000104A5" w:rsidRDefault="00B42EA5" w:rsidP="00B42EA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MC5200010473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75DC" w14:textId="73AAB64A" w:rsidR="00B42EA5" w:rsidRPr="000104A5" w:rsidRDefault="00B42EA5" w:rsidP="00B42EA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Vodárna HW 1100 MC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5922" w14:textId="147208E5" w:rsidR="00B42EA5" w:rsidRPr="000104A5" w:rsidRDefault="00B42EA5" w:rsidP="00B42E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52985" w14:textId="22BBAEC6" w:rsidR="00B42EA5" w:rsidRPr="000104A5" w:rsidRDefault="00B42EA5" w:rsidP="00B42EA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5990,00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A7B0" w14:textId="4C1E741E" w:rsidR="00B42EA5" w:rsidRPr="000104A5" w:rsidRDefault="00B42EA5" w:rsidP="00B42EA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28.2.2002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D2A4" w14:textId="720EB7A9" w:rsidR="00B42EA5" w:rsidRPr="000104A5" w:rsidRDefault="00B42EA5" w:rsidP="00B42EA5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nefunkční</w:t>
            </w:r>
          </w:p>
        </w:tc>
      </w:tr>
      <w:tr w:rsidR="00B42EA5" w:rsidRPr="000104A5" w14:paraId="7E6B5DF6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FE94" w14:textId="41023DCF" w:rsidR="00B42EA5" w:rsidRPr="000104A5" w:rsidRDefault="00B42EA5" w:rsidP="00B42EA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MC5200004163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5A6B" w14:textId="77202F9D" w:rsidR="00B42EA5" w:rsidRPr="000104A5" w:rsidRDefault="00B42EA5" w:rsidP="00B42EA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Tiskárna laserová HP </w:t>
            </w:r>
            <w:proofErr w:type="spellStart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Laserjet</w:t>
            </w:r>
            <w:proofErr w:type="spellEnd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A8EDE" w14:textId="75CBFF3F" w:rsidR="00B42EA5" w:rsidRPr="000104A5" w:rsidRDefault="00B42EA5" w:rsidP="00B42E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A5E1" w14:textId="152C988E" w:rsidR="00B42EA5" w:rsidRPr="000104A5" w:rsidRDefault="00B42EA5" w:rsidP="00B42EA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15006,00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6A4C" w14:textId="475985F4" w:rsidR="00B42EA5" w:rsidRPr="000104A5" w:rsidRDefault="00B42EA5" w:rsidP="00B42EA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13.5.2003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E356" w14:textId="1B6A08BA" w:rsidR="00B42EA5" w:rsidRPr="000104A5" w:rsidRDefault="00B42EA5" w:rsidP="00B42EA5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zastaralé</w:t>
            </w:r>
          </w:p>
        </w:tc>
      </w:tr>
      <w:tr w:rsidR="00B42EA5" w:rsidRPr="000104A5" w14:paraId="596CFB12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AD4A" w14:textId="0E09FCF4" w:rsidR="00B42EA5" w:rsidRPr="000104A5" w:rsidRDefault="00B42EA5" w:rsidP="00B42EA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MC5200004276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EAB74" w14:textId="28CF8842" w:rsidR="00B42EA5" w:rsidRPr="000104A5" w:rsidRDefault="00B42EA5" w:rsidP="00B42EA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Tiskárna HP Laser Jet 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4421" w14:textId="2E0C0DB9" w:rsidR="00B42EA5" w:rsidRPr="000104A5" w:rsidRDefault="00B42EA5" w:rsidP="00B42E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6684D" w14:textId="6AE54305" w:rsidR="00B42EA5" w:rsidRPr="000104A5" w:rsidRDefault="00B42EA5" w:rsidP="00B42EA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13298,00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224B" w14:textId="5074C06D" w:rsidR="00B42EA5" w:rsidRPr="000104A5" w:rsidRDefault="00B42EA5" w:rsidP="00B42EA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1.1.2003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C8CA9" w14:textId="61882541" w:rsidR="00B42EA5" w:rsidRPr="000104A5" w:rsidRDefault="00025547" w:rsidP="00B42EA5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poškozené</w:t>
            </w:r>
          </w:p>
        </w:tc>
      </w:tr>
      <w:tr w:rsidR="00B42EA5" w:rsidRPr="000104A5" w14:paraId="7BF9FAA9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99FB" w14:textId="3039CC72" w:rsidR="00B42EA5" w:rsidRPr="000104A5" w:rsidRDefault="00B42EA5" w:rsidP="00B42EA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MC5200004517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27F8" w14:textId="3CAB06F2" w:rsidR="00B42EA5" w:rsidRPr="000104A5" w:rsidRDefault="00B42EA5" w:rsidP="00B42EA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čerpadlo </w:t>
            </w:r>
            <w:proofErr w:type="spellStart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Grundfos</w:t>
            </w:r>
            <w:proofErr w:type="spellEnd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SQ 2-55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5439C" w14:textId="1F77332C" w:rsidR="00B42EA5" w:rsidRPr="000104A5" w:rsidRDefault="00B42EA5" w:rsidP="00B42E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B4CD" w14:textId="784902EF" w:rsidR="00B42EA5" w:rsidRPr="000104A5" w:rsidRDefault="00B42EA5" w:rsidP="00B42EA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17850,00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035A" w14:textId="2A06E6D2" w:rsidR="00B42EA5" w:rsidRPr="000104A5" w:rsidRDefault="00B42EA5" w:rsidP="00B42EA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17.7.2008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563B" w14:textId="76B7ABAE" w:rsidR="00B42EA5" w:rsidRPr="000104A5" w:rsidRDefault="00B42EA5" w:rsidP="00B42EA5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nefunkční</w:t>
            </w:r>
          </w:p>
        </w:tc>
      </w:tr>
      <w:tr w:rsidR="00B42EA5" w:rsidRPr="000104A5" w14:paraId="0FA9042B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0E72" w14:textId="346506E9" w:rsidR="00B42EA5" w:rsidRPr="000104A5" w:rsidRDefault="00B42EA5" w:rsidP="00B42EA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MC5200004587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0F85E" w14:textId="083649E2" w:rsidR="00B42EA5" w:rsidRPr="000104A5" w:rsidRDefault="00B42EA5" w:rsidP="00B42EA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PC Intel Pentium </w:t>
            </w:r>
            <w:proofErr w:type="spellStart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Dual-Core</w:t>
            </w:r>
            <w:proofErr w:type="spellEnd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s příslušenstvím (Bryknar)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4F687" w14:textId="3AF2E4F8" w:rsidR="00B42EA5" w:rsidRPr="000104A5" w:rsidRDefault="00B42EA5" w:rsidP="00B42E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284B7" w14:textId="24028F39" w:rsidR="00B42EA5" w:rsidRPr="000104A5" w:rsidRDefault="00B42EA5" w:rsidP="00B42EA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15240,00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3B12" w14:textId="65D1DC3B" w:rsidR="00B42EA5" w:rsidRPr="000104A5" w:rsidRDefault="00B42EA5" w:rsidP="00B42EA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4.11.2010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8EC2C" w14:textId="795C24B0" w:rsidR="00B42EA5" w:rsidRPr="000104A5" w:rsidRDefault="00B42EA5" w:rsidP="00B42EA5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zastaralé</w:t>
            </w:r>
          </w:p>
        </w:tc>
      </w:tr>
      <w:tr w:rsidR="00025547" w:rsidRPr="000104A5" w14:paraId="066986F9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913A" w14:textId="22C6D5CA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MC5200010212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D5355" w14:textId="25BD2005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PC Intel i3-3240 s příslušenstvím (záložní PC)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2C7FC" w14:textId="1346CA99" w:rsidR="00025547" w:rsidRPr="000104A5" w:rsidRDefault="00025547" w:rsidP="0002554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EDBCD" w14:textId="113D560D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20666,80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055E" w14:textId="3EFAAA63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3.6.2014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19BF9" w14:textId="5C40F117" w:rsidR="00025547" w:rsidRPr="000104A5" w:rsidRDefault="00025547" w:rsidP="00025547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zastaralé</w:t>
            </w:r>
          </w:p>
        </w:tc>
      </w:tr>
      <w:tr w:rsidR="00025547" w:rsidRPr="000104A5" w14:paraId="4427FB08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BC2A5" w14:textId="41046240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MC5200010215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F2A8" w14:textId="63822D24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OEM Windows 7 </w:t>
            </w:r>
            <w:proofErr w:type="spellStart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professional</w:t>
            </w:r>
            <w:proofErr w:type="spellEnd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(PC Novotný)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F225" w14:textId="1DD71485" w:rsidR="00025547" w:rsidRPr="000104A5" w:rsidRDefault="00025547" w:rsidP="0002554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4A7C" w14:textId="791AEA1D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3484,80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571C" w14:textId="31676179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3.6.2014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17B67" w14:textId="426DF12C" w:rsidR="00025547" w:rsidRPr="000104A5" w:rsidRDefault="00025547" w:rsidP="00025547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zastaralé</w:t>
            </w:r>
          </w:p>
        </w:tc>
      </w:tr>
      <w:tr w:rsidR="00025547" w:rsidRPr="000104A5" w14:paraId="5317E6F9" w14:textId="77777777" w:rsidTr="001B171A">
        <w:trPr>
          <w:trHeight w:val="30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628DD" w14:textId="603A101C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MC5200010216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80A6" w14:textId="47028FDA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OEM Windows 7 </w:t>
            </w:r>
            <w:proofErr w:type="spellStart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professional</w:t>
            </w:r>
            <w:proofErr w:type="spellEnd"/>
            <w:r w:rsidR="001B1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(PC</w:t>
            </w:r>
            <w:r w:rsidR="001B171A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Gremmelová)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3C65" w14:textId="5F3AE9FD" w:rsidR="00025547" w:rsidRPr="000104A5" w:rsidRDefault="00025547" w:rsidP="0002554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7AB3C" w14:textId="18945FFC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3484,80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0EDA5" w14:textId="661319B3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3.6.2014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AC68" w14:textId="0EC9FB74" w:rsidR="00025547" w:rsidRPr="000104A5" w:rsidRDefault="00025547" w:rsidP="00025547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zastaralé</w:t>
            </w:r>
          </w:p>
        </w:tc>
      </w:tr>
      <w:tr w:rsidR="00025547" w:rsidRPr="000104A5" w14:paraId="0DB85B3A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FDA09" w14:textId="2E88DA5D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MC5200010217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45A4" w14:textId="780DC609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OEM Windows 7 </w:t>
            </w:r>
            <w:proofErr w:type="spellStart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professional</w:t>
            </w:r>
            <w:proofErr w:type="spellEnd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(PC Ing. Novotný)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6B29" w14:textId="722F672C" w:rsidR="00025547" w:rsidRPr="000104A5" w:rsidRDefault="00025547" w:rsidP="0002554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E1C7" w14:textId="0F330D5B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3484,80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7FFD" w14:textId="05CDD175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3.6.2014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C793" w14:textId="75C05C24" w:rsidR="00025547" w:rsidRPr="000104A5" w:rsidRDefault="00025547" w:rsidP="00025547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zastaralé</w:t>
            </w:r>
          </w:p>
        </w:tc>
      </w:tr>
      <w:tr w:rsidR="00025547" w:rsidRPr="000104A5" w14:paraId="3782A653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06741" w14:textId="532DF39B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MC5200010219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28BD" w14:textId="43734A05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OEM Windows 7 </w:t>
            </w:r>
            <w:proofErr w:type="spellStart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profesional</w:t>
            </w:r>
            <w:proofErr w:type="spellEnd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(PC Marková)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CBE0" w14:textId="1F960224" w:rsidR="00025547" w:rsidRPr="000104A5" w:rsidRDefault="00025547" w:rsidP="0002554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B3BD3" w14:textId="3494287D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3484,80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2D342" w14:textId="43E9186C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23.6.2014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F815E" w14:textId="6F9BCA76" w:rsidR="00025547" w:rsidRPr="000104A5" w:rsidRDefault="00025547" w:rsidP="00025547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zastaralé</w:t>
            </w:r>
          </w:p>
        </w:tc>
      </w:tr>
      <w:tr w:rsidR="00025547" w:rsidRPr="000104A5" w14:paraId="2528DFDE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8CCE9" w14:textId="24E768A3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MC5200010220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EBA6" w14:textId="38EB7A4F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OEM Windows 7 </w:t>
            </w:r>
            <w:proofErr w:type="spellStart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profesional</w:t>
            </w:r>
            <w:proofErr w:type="spellEnd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(PC Bryknar)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21373" w14:textId="58DCDBFE" w:rsidR="00025547" w:rsidRPr="000104A5" w:rsidRDefault="00025547" w:rsidP="0002554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FBF2" w14:textId="32E20161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3484,80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2C3C" w14:textId="605AB36F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23.6.2014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D1EA" w14:textId="46B2F499" w:rsidR="00025547" w:rsidRPr="000104A5" w:rsidRDefault="00025547" w:rsidP="00025547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zastaralé</w:t>
            </w:r>
          </w:p>
        </w:tc>
      </w:tr>
      <w:tr w:rsidR="00025547" w:rsidRPr="000104A5" w14:paraId="6907F472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7FED" w14:textId="5CA5FB32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MC5200010221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E5D7E" w14:textId="3CBFF008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OEM Windows 7 </w:t>
            </w:r>
            <w:proofErr w:type="spellStart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profesional</w:t>
            </w:r>
            <w:proofErr w:type="spellEnd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(PC Konrádová)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5A607" w14:textId="2BF092F7" w:rsidR="00025547" w:rsidRPr="000104A5" w:rsidRDefault="00025547" w:rsidP="0002554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5307" w14:textId="235BA208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3484,80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1062" w14:textId="12A29F1D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23.6.2014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351A" w14:textId="5A5E626E" w:rsidR="00025547" w:rsidRPr="000104A5" w:rsidRDefault="00025547" w:rsidP="00025547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zastaralé</w:t>
            </w:r>
          </w:p>
        </w:tc>
      </w:tr>
      <w:tr w:rsidR="00025547" w:rsidRPr="000104A5" w14:paraId="7822D7E9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9969F" w14:textId="66A2A007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MC5200010222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45077" w14:textId="2A6839C0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OEM Windows 7 </w:t>
            </w:r>
            <w:proofErr w:type="spellStart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profesional</w:t>
            </w:r>
            <w:proofErr w:type="spellEnd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(PC Mayerová)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C510" w14:textId="4742D297" w:rsidR="00025547" w:rsidRPr="000104A5" w:rsidRDefault="00025547" w:rsidP="0002554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DCDE" w14:textId="0D63E4CD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3484,80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F342" w14:textId="03BEE3B2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23.6.2014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1172C" w14:textId="71F2EF6C" w:rsidR="00025547" w:rsidRPr="000104A5" w:rsidRDefault="00025547" w:rsidP="00025547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zastaralé</w:t>
            </w:r>
          </w:p>
        </w:tc>
      </w:tr>
      <w:tr w:rsidR="00025547" w:rsidRPr="000104A5" w14:paraId="7F8A414B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F92E" w14:textId="07E217D8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MC5200010223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15D83" w14:textId="7B7C423A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OEM Windows 7 </w:t>
            </w:r>
            <w:proofErr w:type="spellStart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profesional</w:t>
            </w:r>
            <w:proofErr w:type="spellEnd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(PC Pokladna)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D318B" w14:textId="6995C1EC" w:rsidR="00025547" w:rsidRPr="000104A5" w:rsidRDefault="00025547" w:rsidP="0002554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A239" w14:textId="4C4D426C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3484,80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40F2" w14:textId="4D31D411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23.6.2014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4E64" w14:textId="0FD7FDCB" w:rsidR="00025547" w:rsidRPr="000104A5" w:rsidRDefault="00025547" w:rsidP="00025547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zastaralé</w:t>
            </w:r>
          </w:p>
        </w:tc>
      </w:tr>
      <w:tr w:rsidR="00025547" w:rsidRPr="000104A5" w14:paraId="65C768AD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DAE5" w14:textId="07B97125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MC5200010224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57EC0" w14:textId="6905B636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OEM Windows 7 </w:t>
            </w:r>
            <w:proofErr w:type="spellStart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profesional</w:t>
            </w:r>
            <w:proofErr w:type="spellEnd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(PC Hala)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5375" w14:textId="313D571F" w:rsidR="00025547" w:rsidRPr="000104A5" w:rsidRDefault="00025547" w:rsidP="0002554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A82D3" w14:textId="4AF9FAAE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3484,80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B1E5" w14:textId="0BA1770E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23.6.2014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A5E7C" w14:textId="6C301C73" w:rsidR="00025547" w:rsidRPr="000104A5" w:rsidRDefault="00025547" w:rsidP="00025547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zastaralé</w:t>
            </w:r>
          </w:p>
        </w:tc>
      </w:tr>
      <w:tr w:rsidR="00025547" w:rsidRPr="000104A5" w14:paraId="2C311C65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3A27" w14:textId="70364A57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MC5200010254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D10C" w14:textId="1B2C1B4C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LCD monitor ASUS VH198S Black 19" WIDE LED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7BE5" w14:textId="194418AE" w:rsidR="00025547" w:rsidRPr="000104A5" w:rsidRDefault="00025547" w:rsidP="0002554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E56B" w14:textId="7312D00E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2628,00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A22EB" w14:textId="4C61169F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25.8.2011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84AF" w14:textId="0CC06177" w:rsidR="00025547" w:rsidRPr="000104A5" w:rsidRDefault="00025547" w:rsidP="00025547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zastaralé</w:t>
            </w:r>
          </w:p>
        </w:tc>
      </w:tr>
      <w:tr w:rsidR="00025547" w:rsidRPr="000104A5" w14:paraId="6D51C924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B1AF7" w14:textId="6DCEEAC2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MC5200010291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6727C" w14:textId="061FF8BF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kopírka XEROX WC 7125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E985" w14:textId="64738B93" w:rsidR="00025547" w:rsidRPr="000104A5" w:rsidRDefault="00025547" w:rsidP="0002554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7180" w14:textId="33C4AA0A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2314,73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21B3" w14:textId="43ADB6FD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30.4.2015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9C6F1" w14:textId="4B67C51B" w:rsidR="00025547" w:rsidRPr="000104A5" w:rsidRDefault="00025547" w:rsidP="00025547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zastaralé</w:t>
            </w:r>
          </w:p>
        </w:tc>
      </w:tr>
      <w:tr w:rsidR="00B42EA5" w:rsidRPr="000104A5" w14:paraId="12634CE1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4FC1" w14:textId="3610F7C2" w:rsidR="00B42EA5" w:rsidRPr="000104A5" w:rsidRDefault="00B42EA5" w:rsidP="00B42EA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MC5200010316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68BAF" w14:textId="13966B77" w:rsidR="00B42EA5" w:rsidRPr="000104A5" w:rsidRDefault="00B42EA5" w:rsidP="00B42EA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zahradní skládací altán bílý 3x3m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99A0E" w14:textId="3FBE615E" w:rsidR="00B42EA5" w:rsidRPr="000104A5" w:rsidRDefault="00B42EA5" w:rsidP="00B42E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F0FD" w14:textId="1ABC0C57" w:rsidR="00B42EA5" w:rsidRPr="000104A5" w:rsidRDefault="00B42EA5" w:rsidP="00B42EA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F4F2" w14:textId="7A51F0F5" w:rsidR="00B42EA5" w:rsidRPr="000104A5" w:rsidRDefault="00B42EA5" w:rsidP="00B42EA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29.6.2015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DC5B" w14:textId="380019CA" w:rsidR="00025547" w:rsidRPr="000104A5" w:rsidRDefault="00025547" w:rsidP="00B42EA5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rozbité</w:t>
            </w:r>
          </w:p>
        </w:tc>
      </w:tr>
      <w:tr w:rsidR="00025547" w:rsidRPr="000104A5" w14:paraId="29902109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0199" w14:textId="43FD9AE1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MC5200010317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F045A" w14:textId="0CA570ED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zahradní skládací altán bílý 3x3m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6CC42" w14:textId="4A3053E8" w:rsidR="00025547" w:rsidRPr="000104A5" w:rsidRDefault="00025547" w:rsidP="0002554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D878" w14:textId="3B321CC1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3AED" w14:textId="3495DA2B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29.6.2015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6CF1" w14:textId="343D643B" w:rsidR="00025547" w:rsidRPr="000104A5" w:rsidRDefault="00025547" w:rsidP="00025547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rozbité</w:t>
            </w:r>
          </w:p>
        </w:tc>
      </w:tr>
      <w:tr w:rsidR="00025547" w:rsidRPr="000104A5" w14:paraId="229FC273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14B0" w14:textId="732B7590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MC5200010318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6632E" w14:textId="41E9EC85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zahradní skládací altán bílý 3x3m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79AE0" w14:textId="3B0FD215" w:rsidR="00025547" w:rsidRPr="000104A5" w:rsidRDefault="00025547" w:rsidP="0002554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D61EF" w14:textId="0C85E5F8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2F081" w14:textId="73DF8480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29.6.2015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672A" w14:textId="323B01D4" w:rsidR="00025547" w:rsidRPr="000104A5" w:rsidRDefault="00025547" w:rsidP="00025547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rozbité</w:t>
            </w:r>
          </w:p>
        </w:tc>
      </w:tr>
      <w:tr w:rsidR="00025547" w:rsidRPr="000104A5" w14:paraId="0315D37C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B1761" w14:textId="654A0E9F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MC5200010319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CD575" w14:textId="46237B8A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zahradní skládací altán bílý 3x3m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5AEA9" w14:textId="68FB518F" w:rsidR="00025547" w:rsidRPr="000104A5" w:rsidRDefault="00025547" w:rsidP="0002554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7C55" w14:textId="07D40402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BB4C" w14:textId="60EB1D61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29.6.2015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E1418" w14:textId="1CC1E60E" w:rsidR="00025547" w:rsidRPr="000104A5" w:rsidRDefault="00025547" w:rsidP="00025547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rozbité</w:t>
            </w:r>
          </w:p>
        </w:tc>
      </w:tr>
      <w:tr w:rsidR="00025547" w:rsidRPr="000104A5" w14:paraId="1ECB1707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EBB3" w14:textId="651FC699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MC5200010320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1FF4" w14:textId="5A473313" w:rsidR="00025547" w:rsidRPr="000104A5" w:rsidRDefault="00025547" w:rsidP="0002554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zahradní skládací altán bílý 3x3m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89AB" w14:textId="0C74C44D" w:rsidR="00025547" w:rsidRPr="000104A5" w:rsidRDefault="00025547" w:rsidP="0002554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172C" w14:textId="6BAA7AF2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AD9B6" w14:textId="36D30E3F" w:rsidR="00025547" w:rsidRPr="000104A5" w:rsidRDefault="00025547" w:rsidP="00025547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29.6.2015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F018B" w14:textId="55A357DD" w:rsidR="00025547" w:rsidRPr="000104A5" w:rsidRDefault="00025547" w:rsidP="00025547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rozbité</w:t>
            </w:r>
          </w:p>
        </w:tc>
      </w:tr>
      <w:tr w:rsidR="00B42EA5" w:rsidRPr="000104A5" w14:paraId="3FFB745B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F1FD0" w14:textId="0F12B773" w:rsidR="00B42EA5" w:rsidRPr="000104A5" w:rsidRDefault="00B42EA5" w:rsidP="00B42EA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MC5200010348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5836" w14:textId="787F46DA" w:rsidR="00B42EA5" w:rsidRPr="000104A5" w:rsidRDefault="00B42EA5" w:rsidP="00B42EA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LCD Monitor ASUS VW171D Black 17"WIDE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8EDF3" w14:textId="769B8048" w:rsidR="00B42EA5" w:rsidRPr="000104A5" w:rsidRDefault="00B42EA5" w:rsidP="00B42E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D776B" w14:textId="063B74ED" w:rsidR="00B42EA5" w:rsidRPr="000104A5" w:rsidRDefault="00B42EA5" w:rsidP="00B42EA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3150,00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0C2E" w14:textId="59D651F7" w:rsidR="00B42EA5" w:rsidRPr="000104A5" w:rsidRDefault="00B42EA5" w:rsidP="00B42EA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27.11.2008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EFF0D" w14:textId="25688593" w:rsidR="00B42EA5" w:rsidRPr="000104A5" w:rsidRDefault="00025547" w:rsidP="00B42EA5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zastaralé</w:t>
            </w:r>
          </w:p>
        </w:tc>
      </w:tr>
      <w:tr w:rsidR="00B42EA5" w:rsidRPr="000104A5" w14:paraId="4CE8FF4C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BB0B6" w14:textId="5C145E6A" w:rsidR="00B42EA5" w:rsidRPr="000104A5" w:rsidRDefault="00B42EA5" w:rsidP="00B42EA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MC5200010381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EDF0" w14:textId="45CE0910" w:rsidR="00B42EA5" w:rsidRPr="000104A5" w:rsidRDefault="00B42EA5" w:rsidP="00B42EA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PC Fujitsu </w:t>
            </w:r>
            <w:proofErr w:type="spellStart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Esprimo</w:t>
            </w:r>
            <w:proofErr w:type="spellEnd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P556 (PC Ing. Novotný)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2F665" w14:textId="469540D8" w:rsidR="00B42EA5" w:rsidRPr="000104A5" w:rsidRDefault="00B42EA5" w:rsidP="00B42E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2AE0" w14:textId="320167DD" w:rsidR="00B42EA5" w:rsidRPr="000104A5" w:rsidRDefault="00B42EA5" w:rsidP="00B42EA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20959,25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B754" w14:textId="0E134AB9" w:rsidR="00B42EA5" w:rsidRPr="000104A5" w:rsidRDefault="00B42EA5" w:rsidP="00B42EA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7.9.2016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5F732" w14:textId="39246228" w:rsidR="00B42EA5" w:rsidRPr="000104A5" w:rsidRDefault="00025547" w:rsidP="00B42EA5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zastaralé</w:t>
            </w:r>
          </w:p>
        </w:tc>
      </w:tr>
      <w:tr w:rsidR="00B42EA5" w:rsidRPr="000104A5" w14:paraId="225164B7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6E10D" w14:textId="1476E5B9" w:rsidR="00B42EA5" w:rsidRPr="000104A5" w:rsidRDefault="00B42EA5" w:rsidP="00B42EA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MC5200010410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6C6A" w14:textId="0C3E8BFF" w:rsidR="00B42EA5" w:rsidRPr="000104A5" w:rsidRDefault="00B42EA5" w:rsidP="00B42EA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TISKARNA </w:t>
            </w:r>
            <w:proofErr w:type="spellStart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BARcode</w:t>
            </w:r>
            <w:proofErr w:type="spellEnd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PF8t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FD4B" w14:textId="66E56D84" w:rsidR="00B42EA5" w:rsidRPr="000104A5" w:rsidRDefault="00B42EA5" w:rsidP="00B42E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F778" w14:textId="7AFA52DD" w:rsidR="00B42EA5" w:rsidRPr="000104A5" w:rsidRDefault="00B42EA5" w:rsidP="00B42EA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24038,40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8C8A" w14:textId="15265475" w:rsidR="00B42EA5" w:rsidRPr="000104A5" w:rsidRDefault="00B42EA5" w:rsidP="00B42EA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1.7.2011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4AB9" w14:textId="3C2A7A4F" w:rsidR="00B42EA5" w:rsidRPr="000104A5" w:rsidRDefault="00025547" w:rsidP="00B42EA5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zastaralé</w:t>
            </w:r>
          </w:p>
        </w:tc>
      </w:tr>
      <w:tr w:rsidR="00B42EA5" w:rsidRPr="000104A5" w14:paraId="6E8F74E0" w14:textId="77777777" w:rsidTr="001B171A">
        <w:trPr>
          <w:trHeight w:val="300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7A671" w14:textId="30579C2F" w:rsidR="00B42EA5" w:rsidRPr="000104A5" w:rsidRDefault="00B42EA5" w:rsidP="00B42EA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MC5200010558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159D" w14:textId="568D7FAA" w:rsidR="00B42EA5" w:rsidRPr="000104A5" w:rsidRDefault="00B42EA5" w:rsidP="00B42EA5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Kopírovací zařízení Xerox </w:t>
            </w:r>
            <w:proofErr w:type="spellStart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WorkCentre</w:t>
            </w:r>
            <w:proofErr w:type="spellEnd"/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7835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1CB4" w14:textId="0AA752FF" w:rsidR="00B42EA5" w:rsidRPr="000104A5" w:rsidRDefault="00B42EA5" w:rsidP="00B42EA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CD1D3" w14:textId="7049D05C" w:rsidR="00B42EA5" w:rsidRPr="000104A5" w:rsidRDefault="00B42EA5" w:rsidP="00B42EA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3196,82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A5A7B" w14:textId="7A82B749" w:rsidR="00B42EA5" w:rsidRPr="000104A5" w:rsidRDefault="00B42EA5" w:rsidP="00B42EA5">
            <w:pPr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 w:cs="Arial"/>
                <w:color w:val="000000"/>
                <w:sz w:val="22"/>
                <w:szCs w:val="22"/>
              </w:rPr>
              <w:t>14.3.2018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DD775" w14:textId="43C57255" w:rsidR="00B42EA5" w:rsidRPr="000104A5" w:rsidRDefault="00025547" w:rsidP="00B42EA5">
            <w:pPr>
              <w:jc w:val="left"/>
              <w:rPr>
                <w:rFonts w:ascii="Cambria" w:hAnsi="Cambria"/>
                <w:color w:val="000000"/>
                <w:sz w:val="22"/>
                <w:szCs w:val="22"/>
              </w:rPr>
            </w:pPr>
            <w:r w:rsidRPr="000104A5">
              <w:rPr>
                <w:rFonts w:ascii="Cambria" w:hAnsi="Cambria"/>
                <w:color w:val="000000"/>
                <w:sz w:val="22"/>
                <w:szCs w:val="22"/>
              </w:rPr>
              <w:t>zastaralé</w:t>
            </w:r>
          </w:p>
        </w:tc>
      </w:tr>
      <w:bookmarkEnd w:id="1"/>
    </w:tbl>
    <w:p w14:paraId="45BE2863" w14:textId="77777777" w:rsidR="004D5634" w:rsidRDefault="004D5634" w:rsidP="005160EA">
      <w:pPr>
        <w:spacing w:line="360" w:lineRule="auto"/>
        <w:rPr>
          <w:rFonts w:ascii="Cambria" w:hAnsi="Cambria" w:cs="Cambria"/>
        </w:rPr>
      </w:pPr>
    </w:p>
    <w:p w14:paraId="262E9321" w14:textId="2ABF8FE5" w:rsidR="00DD688F" w:rsidRPr="00C46347" w:rsidRDefault="008B4B4D" w:rsidP="001B171A">
      <w:pPr>
        <w:rPr>
          <w:rFonts w:ascii="Cambria" w:hAnsi="Cambria"/>
        </w:rPr>
      </w:pPr>
      <w:r w:rsidRPr="004F501A">
        <w:rPr>
          <w:rFonts w:ascii="Cambria" w:hAnsi="Cambria" w:cs="Cambria"/>
        </w:rPr>
        <w:lastRenderedPageBreak/>
        <w:t xml:space="preserve">HIK </w:t>
      </w:r>
      <w:r w:rsidRPr="004F501A">
        <w:rPr>
          <w:rFonts w:ascii="Cambria" w:hAnsi="Cambria"/>
        </w:rPr>
        <w:t xml:space="preserve">bere tento soupis na vědomí </w:t>
      </w:r>
      <w:r w:rsidR="00C46347">
        <w:rPr>
          <w:rFonts w:ascii="Cambria" w:hAnsi="Cambria"/>
        </w:rPr>
        <w:t xml:space="preserve">a </w:t>
      </w:r>
      <w:r w:rsidR="005160EA" w:rsidRPr="004F501A">
        <w:rPr>
          <w:rFonts w:ascii="Cambria" w:hAnsi="Cambria" w:cs="Cambria"/>
        </w:rPr>
        <w:t xml:space="preserve">souhlasí s vyřazením a likvidací </w:t>
      </w:r>
      <w:r w:rsidR="00C46347">
        <w:rPr>
          <w:rFonts w:ascii="Cambria" w:hAnsi="Cambria" w:cs="Cambria"/>
        </w:rPr>
        <w:t>výše</w:t>
      </w:r>
      <w:r w:rsidR="005160EA" w:rsidRPr="004F501A">
        <w:rPr>
          <w:rFonts w:ascii="Cambria" w:hAnsi="Cambria" w:cs="Cambria"/>
        </w:rPr>
        <w:t xml:space="preserve"> uvedeného majetku</w:t>
      </w:r>
      <w:r w:rsidR="00C46347">
        <w:rPr>
          <w:rFonts w:ascii="Cambria" w:hAnsi="Cambria" w:cs="Cambria"/>
        </w:rPr>
        <w:t>.</w:t>
      </w:r>
      <w:r w:rsidR="005160EA" w:rsidRPr="004F501A">
        <w:rPr>
          <w:rFonts w:ascii="Cambria" w:hAnsi="Cambria" w:cs="Cambria"/>
        </w:rPr>
        <w:t xml:space="preserve"> </w:t>
      </w:r>
    </w:p>
    <w:p w14:paraId="6F5FA457" w14:textId="77777777" w:rsidR="001B171A" w:rsidRDefault="001B171A" w:rsidP="001B171A">
      <w:pPr>
        <w:rPr>
          <w:rFonts w:ascii="Cambria" w:hAnsi="Cambria" w:cs="Cambria"/>
        </w:rPr>
      </w:pPr>
    </w:p>
    <w:p w14:paraId="550EF0AD" w14:textId="0E165BFD" w:rsidR="003B3C96" w:rsidRDefault="000E311A" w:rsidP="001B171A">
      <w:pPr>
        <w:rPr>
          <w:rFonts w:ascii="Cambria" w:hAnsi="Cambria" w:cs="Cambria"/>
        </w:rPr>
      </w:pPr>
      <w:r w:rsidRPr="00A4023D">
        <w:rPr>
          <w:rFonts w:ascii="Cambria" w:hAnsi="Cambria" w:cs="Cambria"/>
        </w:rPr>
        <w:t xml:space="preserve">HIK </w:t>
      </w:r>
      <w:r w:rsidR="009C7A22">
        <w:rPr>
          <w:rFonts w:ascii="Cambria" w:hAnsi="Cambria" w:cs="Cambria"/>
        </w:rPr>
        <w:t>vzala též na vědomí</w:t>
      </w:r>
      <w:r w:rsidRPr="00A4023D">
        <w:rPr>
          <w:rFonts w:ascii="Cambria" w:hAnsi="Cambria" w:cs="Cambria"/>
        </w:rPr>
        <w:t xml:space="preserve"> vyřazení nepotřebného, poškozeného či rozbitého</w:t>
      </w:r>
      <w:r w:rsidR="00B154A9">
        <w:rPr>
          <w:rFonts w:ascii="Cambria" w:hAnsi="Cambria" w:cs="Cambria"/>
        </w:rPr>
        <w:t xml:space="preserve"> svěřeného</w:t>
      </w:r>
      <w:r w:rsidRPr="00A4023D">
        <w:rPr>
          <w:rFonts w:ascii="Cambria" w:hAnsi="Cambria" w:cs="Cambria"/>
        </w:rPr>
        <w:t xml:space="preserve"> majetku PO </w:t>
      </w:r>
      <w:r w:rsidR="00FB0457">
        <w:rPr>
          <w:rFonts w:ascii="Cambria" w:hAnsi="Cambria" w:cs="Cambria"/>
        </w:rPr>
        <w:t>Mateřská škola</w:t>
      </w:r>
      <w:r w:rsidRPr="00A4023D">
        <w:rPr>
          <w:rFonts w:ascii="Cambria" w:hAnsi="Cambria" w:cs="Cambria"/>
        </w:rPr>
        <w:t xml:space="preserve"> </w:t>
      </w:r>
      <w:r w:rsidR="00501747">
        <w:rPr>
          <w:rFonts w:ascii="Cambria" w:hAnsi="Cambria" w:cs="Cambria"/>
        </w:rPr>
        <w:t>N</w:t>
      </w:r>
      <w:r w:rsidRPr="00A4023D">
        <w:rPr>
          <w:rFonts w:ascii="Cambria" w:hAnsi="Cambria" w:cs="Cambria"/>
        </w:rPr>
        <w:t xml:space="preserve">ad </w:t>
      </w:r>
      <w:proofErr w:type="spellStart"/>
      <w:r w:rsidRPr="00A4023D">
        <w:rPr>
          <w:rFonts w:ascii="Cambria" w:hAnsi="Cambria" w:cs="Cambria"/>
        </w:rPr>
        <w:t>Kazankou</w:t>
      </w:r>
      <w:proofErr w:type="spellEnd"/>
      <w:r w:rsidR="002F758B">
        <w:rPr>
          <w:rFonts w:ascii="Cambria" w:hAnsi="Cambria" w:cs="Cambria"/>
        </w:rPr>
        <w:t xml:space="preserve"> </w:t>
      </w:r>
      <w:r w:rsidR="00A75272">
        <w:rPr>
          <w:rFonts w:ascii="Cambria" w:hAnsi="Cambria" w:cs="Cambria"/>
        </w:rPr>
        <w:t xml:space="preserve">v celkové </w:t>
      </w:r>
      <w:r w:rsidR="00B154A9">
        <w:rPr>
          <w:rFonts w:ascii="Cambria" w:hAnsi="Cambria" w:cs="Cambria"/>
        </w:rPr>
        <w:t>pořizovací hodnotě</w:t>
      </w:r>
      <w:r w:rsidR="00A75272">
        <w:rPr>
          <w:rFonts w:ascii="Cambria" w:hAnsi="Cambria" w:cs="Cambria"/>
        </w:rPr>
        <w:t xml:space="preserve"> </w:t>
      </w:r>
      <w:r w:rsidR="00B61A6B">
        <w:rPr>
          <w:rFonts w:ascii="Cambria" w:hAnsi="Cambria" w:cs="Cambria"/>
        </w:rPr>
        <w:t xml:space="preserve">4.512,78 </w:t>
      </w:r>
      <w:r w:rsidR="00A75272">
        <w:rPr>
          <w:rFonts w:ascii="Cambria" w:hAnsi="Cambria" w:cs="Cambria"/>
        </w:rPr>
        <w:t xml:space="preserve">Kč </w:t>
      </w:r>
      <w:r w:rsidR="002F758B">
        <w:rPr>
          <w:rFonts w:ascii="Cambria" w:hAnsi="Cambria" w:cs="Cambria"/>
        </w:rPr>
        <w:t xml:space="preserve">a </w:t>
      </w:r>
      <w:r w:rsidR="00B154A9">
        <w:rPr>
          <w:rFonts w:ascii="Cambria" w:hAnsi="Cambria" w:cs="Cambria"/>
        </w:rPr>
        <w:t xml:space="preserve">svěřeného majetku </w:t>
      </w:r>
      <w:r w:rsidR="00A30EB9">
        <w:rPr>
          <w:rFonts w:ascii="Cambria" w:hAnsi="Cambria" w:cs="Cambria"/>
        </w:rPr>
        <w:t>Z</w:t>
      </w:r>
      <w:r w:rsidR="00FB0457">
        <w:rPr>
          <w:rFonts w:ascii="Cambria" w:hAnsi="Cambria" w:cs="Cambria"/>
        </w:rPr>
        <w:t>ákladní škola, Praha 7,</w:t>
      </w:r>
      <w:r w:rsidR="002F758B">
        <w:rPr>
          <w:rFonts w:ascii="Cambria" w:hAnsi="Cambria" w:cs="Cambria"/>
        </w:rPr>
        <w:t xml:space="preserve"> Trojská</w:t>
      </w:r>
      <w:r w:rsidR="00FB0457">
        <w:rPr>
          <w:rFonts w:ascii="Cambria" w:hAnsi="Cambria" w:cs="Cambria"/>
        </w:rPr>
        <w:t xml:space="preserve"> 110</w:t>
      </w:r>
      <w:r w:rsidR="00A75272">
        <w:rPr>
          <w:rFonts w:ascii="Cambria" w:hAnsi="Cambria" w:cs="Cambria"/>
        </w:rPr>
        <w:t xml:space="preserve"> v celkové </w:t>
      </w:r>
      <w:r w:rsidR="00B154A9">
        <w:rPr>
          <w:rFonts w:ascii="Cambria" w:hAnsi="Cambria" w:cs="Cambria"/>
        </w:rPr>
        <w:t>pořizovací hodnotě</w:t>
      </w:r>
      <w:r w:rsidR="00A75272">
        <w:rPr>
          <w:rFonts w:ascii="Cambria" w:hAnsi="Cambria" w:cs="Cambria"/>
        </w:rPr>
        <w:t xml:space="preserve"> </w:t>
      </w:r>
      <w:r w:rsidR="00B61A6B">
        <w:rPr>
          <w:rFonts w:ascii="Cambria" w:hAnsi="Cambria" w:cs="Cambria"/>
        </w:rPr>
        <w:t>49.450</w:t>
      </w:r>
      <w:r w:rsidR="00A5317A">
        <w:rPr>
          <w:rFonts w:ascii="Cambria" w:hAnsi="Cambria" w:cs="Cambria"/>
        </w:rPr>
        <w:t>,</w:t>
      </w:r>
      <w:r w:rsidR="00B61A6B">
        <w:rPr>
          <w:rFonts w:ascii="Cambria" w:hAnsi="Cambria" w:cs="Cambria"/>
        </w:rPr>
        <w:t>29</w:t>
      </w:r>
      <w:r w:rsidR="00B154A9">
        <w:rPr>
          <w:rFonts w:ascii="Cambria" w:hAnsi="Cambria" w:cs="Cambria"/>
        </w:rPr>
        <w:t xml:space="preserve"> Kč</w:t>
      </w:r>
      <w:r w:rsidR="00FF078C">
        <w:rPr>
          <w:rFonts w:ascii="Cambria" w:hAnsi="Cambria" w:cs="Cambria"/>
        </w:rPr>
        <w:t xml:space="preserve"> v průběhu roku 20</w:t>
      </w:r>
      <w:r w:rsidR="00A30EB9">
        <w:rPr>
          <w:rFonts w:ascii="Cambria" w:hAnsi="Cambria" w:cs="Cambria"/>
        </w:rPr>
        <w:t>2</w:t>
      </w:r>
      <w:r w:rsidR="004275FA">
        <w:rPr>
          <w:rFonts w:ascii="Cambria" w:hAnsi="Cambria" w:cs="Cambria"/>
        </w:rPr>
        <w:t>3</w:t>
      </w:r>
      <w:r w:rsidR="00FF078C">
        <w:rPr>
          <w:rFonts w:ascii="Cambria" w:hAnsi="Cambria" w:cs="Cambria"/>
        </w:rPr>
        <w:t>.</w:t>
      </w:r>
    </w:p>
    <w:p w14:paraId="520B70C1" w14:textId="77777777" w:rsidR="004275FA" w:rsidRDefault="004275FA" w:rsidP="001B171A">
      <w:pPr>
        <w:rPr>
          <w:rFonts w:ascii="Cambria" w:hAnsi="Cambria"/>
          <w:b/>
        </w:rPr>
      </w:pPr>
    </w:p>
    <w:p w14:paraId="0895D12B" w14:textId="1E2A75CF" w:rsidR="00962FC7" w:rsidRPr="00C1278C" w:rsidRDefault="00962FC7" w:rsidP="001B171A">
      <w:pPr>
        <w:rPr>
          <w:rFonts w:ascii="Cambria" w:hAnsi="Cambria"/>
        </w:rPr>
      </w:pPr>
      <w:r w:rsidRPr="00C1278C">
        <w:rPr>
          <w:rFonts w:ascii="Cambria" w:hAnsi="Cambria"/>
          <w:b/>
        </w:rPr>
        <w:t>Komentář inventarizační zprávy k nevypořádaným rozdílům:</w:t>
      </w:r>
    </w:p>
    <w:p w14:paraId="768622E1" w14:textId="77777777" w:rsidR="00962FC7" w:rsidRPr="00C1278C" w:rsidRDefault="00954297" w:rsidP="001B171A">
      <w:pPr>
        <w:rPr>
          <w:rFonts w:ascii="Cambria" w:hAnsi="Cambria"/>
        </w:rPr>
      </w:pPr>
      <w:r>
        <w:rPr>
          <w:rFonts w:ascii="Cambria" w:hAnsi="Cambria"/>
        </w:rPr>
        <w:t>Nebyly zjištěny žádné inventarizační rozdíly</w:t>
      </w:r>
      <w:r w:rsidR="00A96E29">
        <w:rPr>
          <w:rFonts w:ascii="Cambria" w:hAnsi="Cambria"/>
        </w:rPr>
        <w:t>.</w:t>
      </w:r>
    </w:p>
    <w:p w14:paraId="55175C1B" w14:textId="77777777" w:rsidR="00C46347" w:rsidRDefault="00C46347" w:rsidP="001B171A">
      <w:pPr>
        <w:rPr>
          <w:rFonts w:ascii="Cambria" w:hAnsi="Cambria"/>
          <w:b/>
        </w:rPr>
      </w:pPr>
    </w:p>
    <w:p w14:paraId="5D93FC05" w14:textId="77777777" w:rsidR="004275FA" w:rsidRDefault="004275FA" w:rsidP="00962FC7">
      <w:pPr>
        <w:rPr>
          <w:rFonts w:ascii="Cambria" w:hAnsi="Cambria"/>
          <w:b/>
        </w:rPr>
      </w:pPr>
    </w:p>
    <w:p w14:paraId="5E560B3F" w14:textId="70D95B64" w:rsidR="00962FC7" w:rsidRPr="001B171A" w:rsidRDefault="00962FC7" w:rsidP="003B7CF2">
      <w:pPr>
        <w:rPr>
          <w:rFonts w:ascii="Cambria" w:hAnsi="Cambria"/>
        </w:rPr>
      </w:pPr>
      <w:r w:rsidRPr="001B171A">
        <w:rPr>
          <w:rFonts w:ascii="Cambria" w:hAnsi="Cambria"/>
          <w:b/>
        </w:rPr>
        <w:t>Seznam příloh:</w:t>
      </w:r>
      <w:r w:rsidRPr="001B171A">
        <w:rPr>
          <w:rFonts w:ascii="Cambria" w:hAnsi="Cambria"/>
        </w:rPr>
        <w:tab/>
      </w:r>
    </w:p>
    <w:p w14:paraId="25FA6A8C" w14:textId="6A3A00F3" w:rsidR="00954297" w:rsidRPr="001B171A" w:rsidRDefault="00954297" w:rsidP="003B7CF2">
      <w:pPr>
        <w:numPr>
          <w:ilvl w:val="0"/>
          <w:numId w:val="1"/>
        </w:numPr>
        <w:rPr>
          <w:rFonts w:ascii="Cambria" w:hAnsi="Cambria" w:cs="Cambria"/>
        </w:rPr>
      </w:pPr>
      <w:r w:rsidRPr="001B171A">
        <w:rPr>
          <w:rFonts w:ascii="Cambria" w:hAnsi="Cambria" w:cs="Cambria"/>
          <w:bCs/>
        </w:rPr>
        <w:t>Přehled pohledávek v Kč k </w:t>
      </w:r>
      <w:r w:rsidR="00A30EB9" w:rsidRPr="001B171A">
        <w:rPr>
          <w:rFonts w:ascii="Cambria" w:hAnsi="Cambria" w:cs="Cambria"/>
          <w:bCs/>
        </w:rPr>
        <w:t>12</w:t>
      </w:r>
      <w:r w:rsidRPr="001B171A">
        <w:rPr>
          <w:rFonts w:ascii="Cambria" w:hAnsi="Cambria" w:cs="Cambria"/>
          <w:bCs/>
        </w:rPr>
        <w:t>/20</w:t>
      </w:r>
      <w:r w:rsidR="00A30EB9" w:rsidRPr="001B171A">
        <w:rPr>
          <w:rFonts w:ascii="Cambria" w:hAnsi="Cambria" w:cs="Cambria"/>
          <w:bCs/>
        </w:rPr>
        <w:t>2</w:t>
      </w:r>
      <w:r w:rsidR="001B171A" w:rsidRPr="001B171A">
        <w:rPr>
          <w:rFonts w:ascii="Cambria" w:hAnsi="Cambria" w:cs="Cambria"/>
          <w:bCs/>
        </w:rPr>
        <w:t>3</w:t>
      </w:r>
      <w:r w:rsidRPr="001B171A">
        <w:rPr>
          <w:rFonts w:ascii="Cambria" w:hAnsi="Cambria" w:cs="Cambria"/>
          <w:bCs/>
        </w:rPr>
        <w:t xml:space="preserve"> za MČ – HČ, VHČ</w:t>
      </w:r>
      <w:r w:rsidR="00A30EB9" w:rsidRPr="001B171A">
        <w:rPr>
          <w:rFonts w:ascii="Cambria" w:hAnsi="Cambria" w:cs="Cambria"/>
          <w:bCs/>
        </w:rPr>
        <w:t>,</w:t>
      </w:r>
      <w:r w:rsidRPr="001B171A">
        <w:rPr>
          <w:rFonts w:ascii="Cambria" w:hAnsi="Cambria" w:cs="Cambria"/>
          <w:bCs/>
        </w:rPr>
        <w:t xml:space="preserve"> MŠ (VJIGU701)</w:t>
      </w:r>
      <w:r w:rsidRPr="001B171A">
        <w:rPr>
          <w:rFonts w:ascii="Cambria" w:hAnsi="Cambria" w:cs="Cambria"/>
        </w:rPr>
        <w:tab/>
      </w:r>
    </w:p>
    <w:p w14:paraId="12D63D9A" w14:textId="77777777" w:rsidR="00954297" w:rsidRPr="001B171A" w:rsidRDefault="00954297" w:rsidP="003B7CF2">
      <w:pPr>
        <w:pStyle w:val="Zkladntextodsazen"/>
        <w:numPr>
          <w:ilvl w:val="0"/>
          <w:numId w:val="1"/>
        </w:numPr>
        <w:spacing w:after="0"/>
        <w:rPr>
          <w:rFonts w:ascii="Cambria" w:hAnsi="Cambria"/>
        </w:rPr>
      </w:pPr>
      <w:r w:rsidRPr="001B171A">
        <w:rPr>
          <w:rFonts w:ascii="Cambria" w:hAnsi="Cambria"/>
        </w:rPr>
        <w:t>Inventarizace rozvahových a podrozvahových účtů za MČ – HČ, VHČ, SOR; MŠ a ZŠ (VJIGU702)</w:t>
      </w:r>
    </w:p>
    <w:p w14:paraId="4005EE06" w14:textId="77777777" w:rsidR="00954297" w:rsidRPr="001B171A" w:rsidRDefault="00954297" w:rsidP="003B7CF2">
      <w:pPr>
        <w:pStyle w:val="Zkladntextodsazen"/>
        <w:numPr>
          <w:ilvl w:val="0"/>
          <w:numId w:val="1"/>
        </w:numPr>
        <w:spacing w:after="0"/>
        <w:rPr>
          <w:rFonts w:ascii="Cambria" w:hAnsi="Cambria"/>
        </w:rPr>
      </w:pPr>
      <w:r w:rsidRPr="001B171A">
        <w:rPr>
          <w:rFonts w:ascii="Cambria" w:hAnsi="Cambria"/>
        </w:rPr>
        <w:t>Rekapitulace cen inventurních soupisů nemovitostí ve vlastnictví obce</w:t>
      </w:r>
    </w:p>
    <w:p w14:paraId="3E89350C" w14:textId="77777777" w:rsidR="00954297" w:rsidRPr="001B171A" w:rsidRDefault="00954297" w:rsidP="003B7CF2">
      <w:pPr>
        <w:pStyle w:val="Zkladntextodsazen"/>
        <w:ind w:left="720"/>
        <w:rPr>
          <w:rFonts w:ascii="Cambria" w:hAnsi="Cambria"/>
        </w:rPr>
      </w:pPr>
      <w:r w:rsidRPr="001B171A">
        <w:rPr>
          <w:rFonts w:ascii="Cambria" w:hAnsi="Cambria"/>
        </w:rPr>
        <w:t>(Tabulka 8)</w:t>
      </w:r>
    </w:p>
    <w:p w14:paraId="30C4D12C" w14:textId="77777777" w:rsidR="00954297" w:rsidRPr="001B171A" w:rsidRDefault="00954297" w:rsidP="003B7CF2">
      <w:pPr>
        <w:pStyle w:val="Zkladntextodsazen"/>
        <w:numPr>
          <w:ilvl w:val="0"/>
          <w:numId w:val="1"/>
        </w:numPr>
        <w:spacing w:after="0"/>
        <w:rPr>
          <w:rFonts w:ascii="Cambria" w:eastAsia="MS Mincho" w:hAnsi="Cambria"/>
        </w:rPr>
      </w:pPr>
      <w:r w:rsidRPr="001B171A">
        <w:rPr>
          <w:rFonts w:ascii="Cambria" w:eastAsia="MS Mincho" w:hAnsi="Cambria"/>
        </w:rPr>
        <w:t>Prohlášení o provedené inventarizaci a komentář k rozdílům za ZŠ a MŠ</w:t>
      </w:r>
    </w:p>
    <w:p w14:paraId="19B64219" w14:textId="38236B72" w:rsidR="00493BBB" w:rsidRPr="001B171A" w:rsidRDefault="00954297" w:rsidP="003B7CF2">
      <w:pPr>
        <w:pStyle w:val="Zkladntextodsazen"/>
        <w:ind w:left="360" w:firstLine="348"/>
        <w:rPr>
          <w:rFonts w:ascii="Cambria" w:eastAsia="MS Mincho" w:hAnsi="Cambria"/>
        </w:rPr>
      </w:pPr>
      <w:r w:rsidRPr="001B171A">
        <w:rPr>
          <w:rFonts w:ascii="Cambria" w:eastAsia="MS Mincho" w:hAnsi="Cambria"/>
        </w:rPr>
        <w:t>(Tabulky C)</w:t>
      </w:r>
    </w:p>
    <w:p w14:paraId="36264A18" w14:textId="77777777" w:rsidR="002B7F41" w:rsidRPr="001B171A" w:rsidRDefault="002B7F41" w:rsidP="000E311A">
      <w:pPr>
        <w:spacing w:line="480" w:lineRule="auto"/>
        <w:rPr>
          <w:rFonts w:ascii="Cambria" w:hAnsi="Cambria"/>
        </w:rPr>
      </w:pPr>
    </w:p>
    <w:p w14:paraId="52915ED1" w14:textId="5E478CF1" w:rsidR="000E311A" w:rsidRPr="00C1278C" w:rsidRDefault="00962FC7" w:rsidP="000E311A">
      <w:pPr>
        <w:spacing w:line="480" w:lineRule="auto"/>
        <w:rPr>
          <w:rFonts w:ascii="Cambria" w:eastAsia="MS Mincho" w:hAnsi="Cambria"/>
        </w:rPr>
      </w:pPr>
      <w:r w:rsidRPr="00C1278C">
        <w:rPr>
          <w:rFonts w:ascii="Cambria" w:hAnsi="Cambria"/>
        </w:rPr>
        <w:t>Za HIK:</w:t>
      </w:r>
      <w:r w:rsidRPr="00C1278C">
        <w:rPr>
          <w:rFonts w:ascii="Cambria" w:hAnsi="Cambria"/>
        </w:rPr>
        <w:tab/>
      </w:r>
      <w:r w:rsidR="000E311A">
        <w:rPr>
          <w:rFonts w:ascii="Cambria" w:hAnsi="Cambria"/>
        </w:rPr>
        <w:t xml:space="preserve">                                                      Podpis: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311A" w:rsidRPr="00547F45" w14:paraId="698DACCE" w14:textId="77777777" w:rsidTr="00547F45">
        <w:tc>
          <w:tcPr>
            <w:tcW w:w="4606" w:type="dxa"/>
          </w:tcPr>
          <w:p w14:paraId="2DEF4A33" w14:textId="77777777" w:rsidR="000E311A" w:rsidRPr="00547F45" w:rsidRDefault="000E311A" w:rsidP="00547F45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>předseda: Ing. Tomáš Bryknar</w:t>
            </w:r>
          </w:p>
        </w:tc>
        <w:tc>
          <w:tcPr>
            <w:tcW w:w="4606" w:type="dxa"/>
          </w:tcPr>
          <w:p w14:paraId="4FFE4AF0" w14:textId="77777777" w:rsidR="000E311A" w:rsidRPr="00547F45" w:rsidRDefault="000E311A" w:rsidP="00547F45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>………………………………………………………………</w:t>
            </w:r>
          </w:p>
        </w:tc>
      </w:tr>
      <w:tr w:rsidR="000E311A" w:rsidRPr="00547F45" w14:paraId="6AD6320E" w14:textId="77777777" w:rsidTr="00547F45">
        <w:tc>
          <w:tcPr>
            <w:tcW w:w="4606" w:type="dxa"/>
          </w:tcPr>
          <w:p w14:paraId="7B2B4FF2" w14:textId="77777777" w:rsidR="000E311A" w:rsidRPr="00547F45" w:rsidRDefault="000E311A" w:rsidP="00547F45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>člen: Romana Konrádová</w:t>
            </w:r>
          </w:p>
        </w:tc>
        <w:tc>
          <w:tcPr>
            <w:tcW w:w="4606" w:type="dxa"/>
          </w:tcPr>
          <w:p w14:paraId="47A6F372" w14:textId="77777777" w:rsidR="000E311A" w:rsidRPr="00547F45" w:rsidRDefault="000E311A" w:rsidP="00547F45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>………………………………………………………………</w:t>
            </w:r>
          </w:p>
        </w:tc>
      </w:tr>
      <w:tr w:rsidR="00A603DE" w:rsidRPr="00547F45" w14:paraId="51A64741" w14:textId="77777777" w:rsidTr="00405414">
        <w:tc>
          <w:tcPr>
            <w:tcW w:w="4606" w:type="dxa"/>
          </w:tcPr>
          <w:p w14:paraId="364B3487" w14:textId="77777777" w:rsidR="00A603DE" w:rsidRPr="00547F45" w:rsidRDefault="00A603DE" w:rsidP="00405414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 xml:space="preserve">člen: </w:t>
            </w:r>
            <w:r>
              <w:rPr>
                <w:rFonts w:ascii="Cambria" w:eastAsia="MS Mincho" w:hAnsi="Cambria"/>
              </w:rPr>
              <w:t>Klára Foitlová</w:t>
            </w:r>
          </w:p>
        </w:tc>
        <w:tc>
          <w:tcPr>
            <w:tcW w:w="4606" w:type="dxa"/>
          </w:tcPr>
          <w:p w14:paraId="7E2AF92E" w14:textId="77777777" w:rsidR="00A603DE" w:rsidRPr="00547F45" w:rsidRDefault="00A603DE" w:rsidP="00405414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>………………………………………………………………</w:t>
            </w:r>
          </w:p>
        </w:tc>
      </w:tr>
      <w:tr w:rsidR="000E311A" w:rsidRPr="00547F45" w14:paraId="1FDC9E9D" w14:textId="77777777" w:rsidTr="00547F45">
        <w:tc>
          <w:tcPr>
            <w:tcW w:w="4606" w:type="dxa"/>
          </w:tcPr>
          <w:p w14:paraId="73087807" w14:textId="77777777" w:rsidR="000E311A" w:rsidRPr="00547F45" w:rsidRDefault="000E311A" w:rsidP="00547F45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>člen: Ing. Irena Marková</w:t>
            </w:r>
          </w:p>
        </w:tc>
        <w:tc>
          <w:tcPr>
            <w:tcW w:w="4606" w:type="dxa"/>
          </w:tcPr>
          <w:p w14:paraId="26F1A892" w14:textId="77777777" w:rsidR="000E311A" w:rsidRPr="00547F45" w:rsidRDefault="000E311A" w:rsidP="00547F45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>………………………………………………………………</w:t>
            </w:r>
          </w:p>
        </w:tc>
      </w:tr>
      <w:tr w:rsidR="000E311A" w:rsidRPr="00547F45" w14:paraId="5CE82FEE" w14:textId="77777777" w:rsidTr="00547F45">
        <w:tc>
          <w:tcPr>
            <w:tcW w:w="4606" w:type="dxa"/>
          </w:tcPr>
          <w:p w14:paraId="6DBDC200" w14:textId="77777777" w:rsidR="000E311A" w:rsidRPr="00547F45" w:rsidRDefault="000E311A" w:rsidP="00AA15D0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 xml:space="preserve">člen: </w:t>
            </w:r>
            <w:r w:rsidR="00AA15D0">
              <w:rPr>
                <w:rFonts w:ascii="Cambria" w:eastAsia="MS Mincho" w:hAnsi="Cambria"/>
              </w:rPr>
              <w:t>Ing. Klára Mayerová</w:t>
            </w:r>
          </w:p>
        </w:tc>
        <w:tc>
          <w:tcPr>
            <w:tcW w:w="4606" w:type="dxa"/>
          </w:tcPr>
          <w:p w14:paraId="23C87974" w14:textId="77777777" w:rsidR="000E311A" w:rsidRPr="00547F45" w:rsidRDefault="000E311A" w:rsidP="00547F45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>……………………………………………………………….</w:t>
            </w:r>
          </w:p>
        </w:tc>
      </w:tr>
      <w:tr w:rsidR="000E311A" w:rsidRPr="00547F45" w14:paraId="01AEE5AB" w14:textId="77777777" w:rsidTr="00547F45">
        <w:tc>
          <w:tcPr>
            <w:tcW w:w="4606" w:type="dxa"/>
          </w:tcPr>
          <w:p w14:paraId="5283A0AA" w14:textId="77777777" w:rsidR="000E311A" w:rsidRPr="00547F45" w:rsidRDefault="000E311A" w:rsidP="00547F45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>člen: Karel Novotný</w:t>
            </w:r>
          </w:p>
        </w:tc>
        <w:tc>
          <w:tcPr>
            <w:tcW w:w="4606" w:type="dxa"/>
          </w:tcPr>
          <w:p w14:paraId="1EB7867B" w14:textId="77777777" w:rsidR="000E311A" w:rsidRPr="00547F45" w:rsidRDefault="000E311A" w:rsidP="00547F45">
            <w:pPr>
              <w:spacing w:line="480" w:lineRule="auto"/>
              <w:rPr>
                <w:rFonts w:ascii="Cambria" w:eastAsia="MS Mincho" w:hAnsi="Cambria"/>
              </w:rPr>
            </w:pPr>
            <w:r w:rsidRPr="00547F45">
              <w:rPr>
                <w:rFonts w:ascii="Cambria" w:eastAsia="MS Mincho" w:hAnsi="Cambria"/>
              </w:rPr>
              <w:t>………………………………………………………………</w:t>
            </w:r>
          </w:p>
        </w:tc>
      </w:tr>
    </w:tbl>
    <w:p w14:paraId="744BF8AF" w14:textId="47CE9F76" w:rsidR="00962FC7" w:rsidRPr="00C1278C" w:rsidRDefault="00954297" w:rsidP="000E311A">
      <w:pPr>
        <w:pStyle w:val="Prosttext1"/>
        <w:spacing w:line="48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                          </w:t>
      </w:r>
    </w:p>
    <w:p w14:paraId="2190559A" w14:textId="77777777" w:rsidR="00962FC7" w:rsidRPr="00C1278C" w:rsidRDefault="00962FC7" w:rsidP="00962FC7">
      <w:pPr>
        <w:pStyle w:val="Prosttext1"/>
        <w:rPr>
          <w:rFonts w:ascii="Cambria" w:eastAsia="MS Mincho" w:hAnsi="Cambria" w:cs="Times New Roman"/>
        </w:rPr>
      </w:pPr>
      <w:r w:rsidRPr="00C1278C">
        <w:rPr>
          <w:rFonts w:ascii="Cambria" w:eastAsia="MS Mincho" w:hAnsi="Cambria" w:cs="Times New Roman"/>
          <w:sz w:val="24"/>
          <w:szCs w:val="24"/>
        </w:rPr>
        <w:t xml:space="preserve">Statutární zástupce hlavního inventarizačního místa: </w:t>
      </w:r>
      <w:r w:rsidR="00954297">
        <w:rPr>
          <w:rFonts w:ascii="Cambria" w:eastAsia="MS Mincho" w:hAnsi="Cambria" w:cs="Times New Roman"/>
          <w:sz w:val="24"/>
          <w:szCs w:val="24"/>
        </w:rPr>
        <w:t>Ing. Tomáš Bryknar</w:t>
      </w:r>
    </w:p>
    <w:p w14:paraId="3930AA85" w14:textId="77777777" w:rsidR="00954297" w:rsidRDefault="00954297" w:rsidP="00962FC7">
      <w:pPr>
        <w:pStyle w:val="Prosttext1"/>
        <w:rPr>
          <w:rFonts w:ascii="Cambria" w:eastAsia="MS Mincho" w:hAnsi="Cambria" w:cs="Times New Roman"/>
        </w:rPr>
      </w:pPr>
    </w:p>
    <w:p w14:paraId="1B0A854A" w14:textId="77777777" w:rsidR="00E86679" w:rsidRDefault="00E86679" w:rsidP="00962FC7">
      <w:pPr>
        <w:pStyle w:val="Prosttext1"/>
        <w:rPr>
          <w:rFonts w:ascii="Cambria" w:eastAsia="MS Mincho" w:hAnsi="Cambria" w:cs="Times New Roman"/>
        </w:rPr>
      </w:pPr>
    </w:p>
    <w:p w14:paraId="7DA81A9B" w14:textId="77777777" w:rsidR="00E86679" w:rsidRDefault="00E86679" w:rsidP="00962FC7">
      <w:pPr>
        <w:pStyle w:val="Prosttext1"/>
        <w:rPr>
          <w:rFonts w:ascii="Cambria" w:eastAsia="MS Mincho" w:hAnsi="Cambria" w:cs="Times New Roman"/>
        </w:rPr>
      </w:pPr>
    </w:p>
    <w:p w14:paraId="3511AB63" w14:textId="77777777" w:rsidR="00E86679" w:rsidRDefault="00E86679" w:rsidP="00962FC7">
      <w:pPr>
        <w:pStyle w:val="Prosttext1"/>
        <w:rPr>
          <w:rFonts w:ascii="Cambria" w:eastAsia="MS Mincho" w:hAnsi="Cambria" w:cs="Times New Roman"/>
        </w:rPr>
      </w:pPr>
    </w:p>
    <w:p w14:paraId="01E8D135" w14:textId="77777777" w:rsidR="00C1278C" w:rsidRPr="00C1278C" w:rsidRDefault="00962FC7" w:rsidP="000E311A">
      <w:pPr>
        <w:pStyle w:val="Prosttext1"/>
        <w:rPr>
          <w:rFonts w:ascii="Cambria" w:hAnsi="Cambria"/>
        </w:rPr>
      </w:pPr>
      <w:r w:rsidRPr="00C1278C">
        <w:rPr>
          <w:rFonts w:ascii="Cambria" w:eastAsia="MS Mincho" w:hAnsi="Cambria" w:cs="Times New Roman"/>
        </w:rPr>
        <w:t>Podpis, razítko ………………………………………………………….</w:t>
      </w:r>
    </w:p>
    <w:sectPr w:rsidR="00C1278C" w:rsidRPr="00C1278C" w:rsidSect="00194CAD">
      <w:pgSz w:w="11906" w:h="16838"/>
      <w:pgMar w:top="1276" w:right="849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F3AAB"/>
    <w:multiLevelType w:val="hybridMultilevel"/>
    <w:tmpl w:val="B9B278C6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910C35"/>
    <w:multiLevelType w:val="hybridMultilevel"/>
    <w:tmpl w:val="23FA9DD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7728AA"/>
    <w:multiLevelType w:val="hybridMultilevel"/>
    <w:tmpl w:val="B9B278C6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6AA4A2B"/>
    <w:multiLevelType w:val="hybridMultilevel"/>
    <w:tmpl w:val="14F09FBC"/>
    <w:lvl w:ilvl="0" w:tplc="9E243FE2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C5A1C"/>
    <w:multiLevelType w:val="hybridMultilevel"/>
    <w:tmpl w:val="58341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67FEC"/>
    <w:multiLevelType w:val="hybridMultilevel"/>
    <w:tmpl w:val="E90AC1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C5BF8"/>
    <w:multiLevelType w:val="hybridMultilevel"/>
    <w:tmpl w:val="23FA9DD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A9A36BC"/>
    <w:multiLevelType w:val="hybridMultilevel"/>
    <w:tmpl w:val="336C2514"/>
    <w:lvl w:ilvl="0" w:tplc="9E243FE2">
      <w:numFmt w:val="bullet"/>
      <w:lvlText w:val="-"/>
      <w:lvlJc w:val="left"/>
      <w:pPr>
        <w:ind w:left="780" w:hanging="360"/>
      </w:pPr>
      <w:rPr>
        <w:rFonts w:ascii="Cambria" w:eastAsia="Times New Roman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B1942C9"/>
    <w:multiLevelType w:val="hybridMultilevel"/>
    <w:tmpl w:val="FCEC7196"/>
    <w:lvl w:ilvl="0" w:tplc="3BF46FBC">
      <w:start w:val="169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790031">
    <w:abstractNumId w:val="4"/>
  </w:num>
  <w:num w:numId="2" w16cid:durableId="533621798">
    <w:abstractNumId w:val="2"/>
  </w:num>
  <w:num w:numId="3" w16cid:durableId="1497260034">
    <w:abstractNumId w:val="1"/>
  </w:num>
  <w:num w:numId="4" w16cid:durableId="2117287150">
    <w:abstractNumId w:val="6"/>
  </w:num>
  <w:num w:numId="5" w16cid:durableId="1447892405">
    <w:abstractNumId w:val="3"/>
  </w:num>
  <w:num w:numId="6" w16cid:durableId="1375153059">
    <w:abstractNumId w:val="5"/>
  </w:num>
  <w:num w:numId="7" w16cid:durableId="798114295">
    <w:abstractNumId w:val="7"/>
  </w:num>
  <w:num w:numId="8" w16cid:durableId="1709836464">
    <w:abstractNumId w:val="8"/>
  </w:num>
  <w:num w:numId="9" w16cid:durableId="1415905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C7"/>
    <w:rsid w:val="000104A5"/>
    <w:rsid w:val="00010B7B"/>
    <w:rsid w:val="00025547"/>
    <w:rsid w:val="000430EF"/>
    <w:rsid w:val="00081926"/>
    <w:rsid w:val="000863CF"/>
    <w:rsid w:val="00090C2B"/>
    <w:rsid w:val="00095E88"/>
    <w:rsid w:val="000C1CA6"/>
    <w:rsid w:val="000E311A"/>
    <w:rsid w:val="000F37DB"/>
    <w:rsid w:val="00134C49"/>
    <w:rsid w:val="001566B9"/>
    <w:rsid w:val="001701D9"/>
    <w:rsid w:val="00187422"/>
    <w:rsid w:val="00194CAD"/>
    <w:rsid w:val="001B171A"/>
    <w:rsid w:val="001E3CE9"/>
    <w:rsid w:val="001F2CC2"/>
    <w:rsid w:val="002041C3"/>
    <w:rsid w:val="00204D93"/>
    <w:rsid w:val="00205B85"/>
    <w:rsid w:val="00206F6F"/>
    <w:rsid w:val="00216999"/>
    <w:rsid w:val="00216B1E"/>
    <w:rsid w:val="00217606"/>
    <w:rsid w:val="002212FF"/>
    <w:rsid w:val="00223E73"/>
    <w:rsid w:val="00235F7F"/>
    <w:rsid w:val="00245382"/>
    <w:rsid w:val="002733CB"/>
    <w:rsid w:val="00284517"/>
    <w:rsid w:val="002A328F"/>
    <w:rsid w:val="002A6218"/>
    <w:rsid w:val="002A7527"/>
    <w:rsid w:val="002B5DD2"/>
    <w:rsid w:val="002B7F41"/>
    <w:rsid w:val="002F758B"/>
    <w:rsid w:val="00304723"/>
    <w:rsid w:val="00322DC6"/>
    <w:rsid w:val="00365DB6"/>
    <w:rsid w:val="00367861"/>
    <w:rsid w:val="003A6B3A"/>
    <w:rsid w:val="003B3C96"/>
    <w:rsid w:val="003B7CF2"/>
    <w:rsid w:val="003C7C89"/>
    <w:rsid w:val="003D0919"/>
    <w:rsid w:val="003E75CC"/>
    <w:rsid w:val="00405414"/>
    <w:rsid w:val="00407B93"/>
    <w:rsid w:val="00410DF5"/>
    <w:rsid w:val="00416DE3"/>
    <w:rsid w:val="004275FA"/>
    <w:rsid w:val="00427640"/>
    <w:rsid w:val="00453575"/>
    <w:rsid w:val="00483DAE"/>
    <w:rsid w:val="00493BBB"/>
    <w:rsid w:val="00494CD2"/>
    <w:rsid w:val="004D5634"/>
    <w:rsid w:val="004E22F1"/>
    <w:rsid w:val="00501747"/>
    <w:rsid w:val="00511A18"/>
    <w:rsid w:val="005160EA"/>
    <w:rsid w:val="00547F45"/>
    <w:rsid w:val="00552809"/>
    <w:rsid w:val="005537DE"/>
    <w:rsid w:val="005745FD"/>
    <w:rsid w:val="005B4A98"/>
    <w:rsid w:val="005C0431"/>
    <w:rsid w:val="005F1667"/>
    <w:rsid w:val="006014CF"/>
    <w:rsid w:val="0061644A"/>
    <w:rsid w:val="006303B1"/>
    <w:rsid w:val="00643C1A"/>
    <w:rsid w:val="006471D1"/>
    <w:rsid w:val="00666BD9"/>
    <w:rsid w:val="006B42C2"/>
    <w:rsid w:val="006C5DB7"/>
    <w:rsid w:val="007303D3"/>
    <w:rsid w:val="007319D6"/>
    <w:rsid w:val="00740D10"/>
    <w:rsid w:val="00741E32"/>
    <w:rsid w:val="0076306F"/>
    <w:rsid w:val="00767DD6"/>
    <w:rsid w:val="00783788"/>
    <w:rsid w:val="007C4764"/>
    <w:rsid w:val="007E5C36"/>
    <w:rsid w:val="007E6E96"/>
    <w:rsid w:val="00845E14"/>
    <w:rsid w:val="00846C5E"/>
    <w:rsid w:val="00860CB8"/>
    <w:rsid w:val="00866C00"/>
    <w:rsid w:val="008676A1"/>
    <w:rsid w:val="00880E03"/>
    <w:rsid w:val="00881C6F"/>
    <w:rsid w:val="00896D45"/>
    <w:rsid w:val="008A1E26"/>
    <w:rsid w:val="008A74EF"/>
    <w:rsid w:val="008B1EE1"/>
    <w:rsid w:val="008B4B4D"/>
    <w:rsid w:val="008E5F67"/>
    <w:rsid w:val="00907CBE"/>
    <w:rsid w:val="00916CD5"/>
    <w:rsid w:val="009347CC"/>
    <w:rsid w:val="00945B31"/>
    <w:rsid w:val="00954297"/>
    <w:rsid w:val="00957EF5"/>
    <w:rsid w:val="00962FC7"/>
    <w:rsid w:val="0097039B"/>
    <w:rsid w:val="009753AB"/>
    <w:rsid w:val="009846C7"/>
    <w:rsid w:val="00997D45"/>
    <w:rsid w:val="009A0CC3"/>
    <w:rsid w:val="009C7A22"/>
    <w:rsid w:val="009F5E74"/>
    <w:rsid w:val="00A00771"/>
    <w:rsid w:val="00A00834"/>
    <w:rsid w:val="00A04CED"/>
    <w:rsid w:val="00A30EB9"/>
    <w:rsid w:val="00A5317A"/>
    <w:rsid w:val="00A54FC0"/>
    <w:rsid w:val="00A603DE"/>
    <w:rsid w:val="00A65E91"/>
    <w:rsid w:val="00A75272"/>
    <w:rsid w:val="00A82450"/>
    <w:rsid w:val="00A862CA"/>
    <w:rsid w:val="00A96E29"/>
    <w:rsid w:val="00AA15D0"/>
    <w:rsid w:val="00AC15B9"/>
    <w:rsid w:val="00AF0CFF"/>
    <w:rsid w:val="00B154A9"/>
    <w:rsid w:val="00B17B60"/>
    <w:rsid w:val="00B42EA5"/>
    <w:rsid w:val="00B50918"/>
    <w:rsid w:val="00B61A6B"/>
    <w:rsid w:val="00B763EC"/>
    <w:rsid w:val="00B9655F"/>
    <w:rsid w:val="00BD2469"/>
    <w:rsid w:val="00BD58E6"/>
    <w:rsid w:val="00C02B09"/>
    <w:rsid w:val="00C1278C"/>
    <w:rsid w:val="00C2373A"/>
    <w:rsid w:val="00C30DC9"/>
    <w:rsid w:val="00C3700B"/>
    <w:rsid w:val="00C46347"/>
    <w:rsid w:val="00C64816"/>
    <w:rsid w:val="00C72526"/>
    <w:rsid w:val="00C82892"/>
    <w:rsid w:val="00CA2911"/>
    <w:rsid w:val="00CB14D2"/>
    <w:rsid w:val="00CF5888"/>
    <w:rsid w:val="00D00938"/>
    <w:rsid w:val="00D260B0"/>
    <w:rsid w:val="00D41037"/>
    <w:rsid w:val="00DA7A6D"/>
    <w:rsid w:val="00DC3014"/>
    <w:rsid w:val="00DD688F"/>
    <w:rsid w:val="00E17370"/>
    <w:rsid w:val="00E37AB1"/>
    <w:rsid w:val="00E611F6"/>
    <w:rsid w:val="00E86679"/>
    <w:rsid w:val="00E919AA"/>
    <w:rsid w:val="00E939A1"/>
    <w:rsid w:val="00ED49D8"/>
    <w:rsid w:val="00F00AE3"/>
    <w:rsid w:val="00F047B8"/>
    <w:rsid w:val="00F70DC3"/>
    <w:rsid w:val="00F74B65"/>
    <w:rsid w:val="00F751F4"/>
    <w:rsid w:val="00F87598"/>
    <w:rsid w:val="00F97910"/>
    <w:rsid w:val="00FB0457"/>
    <w:rsid w:val="00FB532B"/>
    <w:rsid w:val="00FD2A3B"/>
    <w:rsid w:val="00FE616B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C3F1E"/>
  <w15:chartTrackingRefBased/>
  <w15:docId w15:val="{736105D3-D1C4-48AE-8927-DE90AE4E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62FC7"/>
    <w:pPr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962FC7"/>
    <w:pPr>
      <w:overflowPunct/>
      <w:autoSpaceDE/>
      <w:jc w:val="left"/>
      <w:textAlignment w:val="auto"/>
    </w:pPr>
    <w:rPr>
      <w:rFonts w:ascii="Courier New" w:hAnsi="Courier New" w:cs="Courier New"/>
      <w:sz w:val="20"/>
    </w:rPr>
  </w:style>
  <w:style w:type="paragraph" w:styleId="Zkladntextodsazen2">
    <w:name w:val="Body Text Indent 2"/>
    <w:basedOn w:val="Normln"/>
    <w:link w:val="Zkladntextodsazen2Char"/>
    <w:rsid w:val="00643C1A"/>
    <w:pPr>
      <w:suppressAutoHyphens w:val="0"/>
      <w:overflowPunct/>
      <w:autoSpaceDE/>
      <w:ind w:left="15" w:hanging="15"/>
      <w:textAlignment w:val="auto"/>
    </w:pPr>
    <w:rPr>
      <w:rFonts w:ascii="Cambria" w:hAnsi="Cambria"/>
      <w:szCs w:val="22"/>
    </w:rPr>
  </w:style>
  <w:style w:type="character" w:customStyle="1" w:styleId="Zkladntextodsazen2Char">
    <w:name w:val="Základní text odsazený 2 Char"/>
    <w:link w:val="Zkladntextodsazen2"/>
    <w:rsid w:val="00643C1A"/>
    <w:rPr>
      <w:rFonts w:ascii="Cambria" w:hAnsi="Cambria"/>
      <w:sz w:val="24"/>
      <w:szCs w:val="22"/>
      <w:lang w:eastAsia="ar-SA"/>
    </w:rPr>
  </w:style>
  <w:style w:type="paragraph" w:styleId="Zkladntextodsazen">
    <w:name w:val="Body Text Indent"/>
    <w:basedOn w:val="Normln"/>
    <w:link w:val="ZkladntextodsazenChar"/>
    <w:rsid w:val="0095429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954297"/>
    <w:rPr>
      <w:sz w:val="24"/>
      <w:lang w:eastAsia="ar-SA"/>
    </w:rPr>
  </w:style>
  <w:style w:type="character" w:styleId="Siln">
    <w:name w:val="Strong"/>
    <w:uiPriority w:val="22"/>
    <w:qFormat/>
    <w:rsid w:val="00223E73"/>
    <w:rPr>
      <w:b/>
      <w:bCs/>
    </w:rPr>
  </w:style>
  <w:style w:type="table" w:styleId="Mkatabulky">
    <w:name w:val="Table Grid"/>
    <w:basedOn w:val="Normlntabulka"/>
    <w:rsid w:val="000E3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8">
    <w:name w:val="Table Grid 8"/>
    <w:basedOn w:val="Normlntabulka"/>
    <w:rsid w:val="002B5DD2"/>
    <w:pPr>
      <w:suppressAutoHyphens/>
      <w:overflowPunct w:val="0"/>
      <w:autoSpaceDE w:val="0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link w:val="TextbublinyChar"/>
    <w:rsid w:val="00A824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82450"/>
    <w:rPr>
      <w:rFonts w:ascii="Segoe UI" w:hAnsi="Segoe UI" w:cs="Segoe UI"/>
      <w:sz w:val="18"/>
      <w:szCs w:val="18"/>
      <w:lang w:eastAsia="ar-SA"/>
    </w:rPr>
  </w:style>
  <w:style w:type="character" w:styleId="Odkaznakoment">
    <w:name w:val="annotation reference"/>
    <w:basedOn w:val="Standardnpsmoodstavce"/>
    <w:rsid w:val="004275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75F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275F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275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275FA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39A39-C035-4E45-8B06-0FE98A3C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6153</Characters>
  <Application>Microsoft Office Word</Application>
  <DocSecurity>4</DocSecurity>
  <Lines>51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Městské části</vt:lpstr>
    </vt:vector>
  </TitlesOfParts>
  <Company>MHMP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Městské části</dc:title>
  <dc:subject/>
  <dc:creator>INF</dc:creator>
  <cp:keywords/>
  <cp:lastModifiedBy>Irena Marková</cp:lastModifiedBy>
  <cp:revision>2</cp:revision>
  <cp:lastPrinted>2023-02-14T10:04:00Z</cp:lastPrinted>
  <dcterms:created xsi:type="dcterms:W3CDTF">2024-04-08T10:17:00Z</dcterms:created>
  <dcterms:modified xsi:type="dcterms:W3CDTF">2024-04-08T10:17:00Z</dcterms:modified>
</cp:coreProperties>
</file>